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B62" w:rsidRPr="00AC3B62" w:rsidRDefault="00AC3B62" w:rsidP="00AC3B62">
      <w:pPr>
        <w:spacing w:before="100" w:beforeAutospacing="1" w:after="100" w:afterAutospacing="1" w:line="240" w:lineRule="auto"/>
        <w:outlineLvl w:val="1"/>
        <w:rPr>
          <w:rFonts w:ascii="Times New Roman" w:eastAsia="Times New Roman" w:hAnsi="Times New Roman" w:cs="Times New Roman"/>
          <w:b/>
          <w:bCs/>
          <w:sz w:val="36"/>
          <w:szCs w:val="36"/>
          <w:lang w:eastAsia="el-GR"/>
        </w:rPr>
      </w:pPr>
      <w:r w:rsidRPr="00AC3B62">
        <w:rPr>
          <w:rFonts w:ascii="Times New Roman" w:eastAsia="Times New Roman" w:hAnsi="Times New Roman" w:cs="Times New Roman"/>
          <w:b/>
          <w:bCs/>
          <w:sz w:val="36"/>
          <w:szCs w:val="36"/>
          <w:lang w:eastAsia="el-GR"/>
        </w:rPr>
        <w:t xml:space="preserve">Κ.Υ.Α. </w:t>
      </w:r>
      <w:proofErr w:type="spellStart"/>
      <w:r w:rsidRPr="00AC3B62">
        <w:rPr>
          <w:rFonts w:ascii="Times New Roman" w:eastAsia="Times New Roman" w:hAnsi="Times New Roman" w:cs="Times New Roman"/>
          <w:b/>
          <w:bCs/>
          <w:sz w:val="36"/>
          <w:szCs w:val="36"/>
          <w:lang w:eastAsia="el-GR"/>
        </w:rPr>
        <w:t>αριθμ</w:t>
      </w:r>
      <w:proofErr w:type="spellEnd"/>
      <w:r w:rsidRPr="00AC3B62">
        <w:rPr>
          <w:rFonts w:ascii="Times New Roman" w:eastAsia="Times New Roman" w:hAnsi="Times New Roman" w:cs="Times New Roman"/>
          <w:b/>
          <w:bCs/>
          <w:sz w:val="36"/>
          <w:szCs w:val="36"/>
          <w:lang w:eastAsia="el-GR"/>
        </w:rPr>
        <w:t xml:space="preserve">. 129229/2017 </w:t>
      </w:r>
      <w:r w:rsidRPr="00AC3B62">
        <w:rPr>
          <w:rFonts w:ascii="Times New Roman" w:eastAsia="Times New Roman" w:hAnsi="Times New Roman" w:cs="Times New Roman"/>
          <w:b/>
          <w:bCs/>
          <w:sz w:val="36"/>
          <w:szCs w:val="36"/>
          <w:lang w:eastAsia="el-GR"/>
        </w:rPr>
        <w:br/>
        <w:t xml:space="preserve">Καθορισμός των ειδών επενδυτικών σχεδίων του τομέα πρωτογενούς γεωργικής παραγωγής των πολύ μικρών, μικρών και μεσαίων επιχειρήσεων (ΜΜΕ), που μπορούν να υπαχθούν σε καθεστώτα ενισχύσεων του ν. 4399/2016 και των προδιαγραφών, πρόσθετων όρων, περιορισμών και προϋποθέσεων, καθώς και κάθε σχετικού θέματος για την παροχή των ενισχύσεων σε επενδυτικά σχέδια του τομέα αυτού </w:t>
      </w:r>
    </w:p>
    <w:p w:rsidR="00AC3B62" w:rsidRPr="00AC3B62" w:rsidRDefault="00AC3B62" w:rsidP="00AC3B62">
      <w:pPr>
        <w:spacing w:after="0" w:line="240" w:lineRule="auto"/>
        <w:rPr>
          <w:rFonts w:ascii="Times New Roman" w:eastAsia="Times New Roman" w:hAnsi="Times New Roman" w:cs="Times New Roman"/>
          <w:sz w:val="24"/>
          <w:szCs w:val="24"/>
          <w:lang w:eastAsia="el-GR"/>
        </w:rPr>
      </w:pPr>
    </w:p>
    <w:p w:rsidR="00AC3B62" w:rsidRPr="00AC3B62" w:rsidRDefault="00AC3B62" w:rsidP="00AC3B62">
      <w:pPr>
        <w:spacing w:after="0" w:line="240" w:lineRule="auto"/>
        <w:rPr>
          <w:rFonts w:ascii="Times New Roman" w:eastAsia="Times New Roman" w:hAnsi="Times New Roman" w:cs="Times New Roman"/>
          <w:sz w:val="24"/>
          <w:szCs w:val="24"/>
          <w:lang w:eastAsia="el-GR"/>
        </w:rPr>
      </w:pPr>
      <w:proofErr w:type="spellStart"/>
      <w:r w:rsidRPr="00AC3B62">
        <w:rPr>
          <w:rFonts w:ascii="Times New Roman" w:eastAsia="Times New Roman" w:hAnsi="Times New Roman" w:cs="Times New Roman"/>
          <w:b/>
          <w:bCs/>
          <w:sz w:val="24"/>
          <w:szCs w:val="24"/>
          <w:lang w:eastAsia="el-GR"/>
        </w:rPr>
        <w:t>Αριθμ</w:t>
      </w:r>
      <w:proofErr w:type="spellEnd"/>
      <w:r w:rsidRPr="00AC3B62">
        <w:rPr>
          <w:rFonts w:ascii="Times New Roman" w:eastAsia="Times New Roman" w:hAnsi="Times New Roman" w:cs="Times New Roman"/>
          <w:b/>
          <w:bCs/>
          <w:sz w:val="24"/>
          <w:szCs w:val="24"/>
          <w:lang w:eastAsia="el-GR"/>
        </w:rPr>
        <w:t>. 129229/24-11-2017</w:t>
      </w:r>
      <w:r w:rsidRPr="00AC3B62">
        <w:rPr>
          <w:rFonts w:ascii="Times New Roman" w:eastAsia="Times New Roman" w:hAnsi="Times New Roman" w:cs="Times New Roman"/>
          <w:b/>
          <w:bCs/>
          <w:sz w:val="24"/>
          <w:szCs w:val="24"/>
          <w:lang w:eastAsia="el-GR"/>
        </w:rPr>
        <w:br/>
      </w:r>
      <w:r w:rsidRPr="00AC3B62">
        <w:rPr>
          <w:rFonts w:ascii="Times New Roman" w:eastAsia="Times New Roman" w:hAnsi="Times New Roman" w:cs="Times New Roman"/>
          <w:b/>
          <w:bCs/>
          <w:sz w:val="24"/>
          <w:szCs w:val="24"/>
          <w:lang w:eastAsia="el-GR"/>
        </w:rPr>
        <w:br/>
      </w:r>
      <w:r w:rsidRPr="00AC3B62">
        <w:rPr>
          <w:rFonts w:ascii="Times New Roman" w:eastAsia="Times New Roman" w:hAnsi="Times New Roman" w:cs="Times New Roman"/>
          <w:sz w:val="24"/>
          <w:szCs w:val="24"/>
          <w:lang w:eastAsia="el-GR"/>
        </w:rPr>
        <w:t>(ΦΕΚ Β' 4122/27.11.2017)</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ΟΙ ΥΠΟΥΡΓΟΙ ΟΙΚΟΝΟΜΙΑΣ ΚΑΙ ΑΝΑΠΤΥΞΗΣ - ΑΓΡΟΤΙΚΗΣ ΑΝΑΠΤΥΞΗΣ ΚΑΙ ΤΡΟΦΙΜΩΝ</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Έχοντας υπόψη:</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1. Τις διατάξεις του ν. </w:t>
      </w:r>
      <w:hyperlink r:id="rId4"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«Θεσμικό πλαίσιο για τη σύσταση καθεστώτων Ενισχύσεων Ιδιωτικών Επενδύσεων για την περιφερειακή και οικονομική ανάπτυξη της χώρας - Σύσταση Αναπτυξιακού Συμβουλίου και άλλες διατάξεις» (Α’117) και ειδικότερα τις ρυθμίσεις του </w:t>
      </w:r>
      <w:hyperlink r:id="rId5" w:history="1">
        <w:r w:rsidRPr="00AC3B62">
          <w:rPr>
            <w:rFonts w:ascii="Times New Roman" w:eastAsia="Times New Roman" w:hAnsi="Times New Roman" w:cs="Times New Roman"/>
            <w:color w:val="0000FF"/>
            <w:sz w:val="24"/>
            <w:szCs w:val="24"/>
            <w:u w:val="single"/>
            <w:lang w:eastAsia="el-GR"/>
          </w:rPr>
          <w:t>άρθρου 7 παρ. 6</w:t>
        </w:r>
      </w:hyperlink>
      <w:r w:rsidRPr="00AC3B62">
        <w:rPr>
          <w:rFonts w:ascii="Times New Roman" w:eastAsia="Times New Roman" w:hAnsi="Times New Roman" w:cs="Times New Roman"/>
          <w:sz w:val="24"/>
          <w:szCs w:val="24"/>
          <w:lang w:eastAsia="el-GR"/>
        </w:rPr>
        <w:t xml:space="preserve"> β (</w:t>
      </w:r>
      <w:proofErr w:type="spellStart"/>
      <w:r w:rsidRPr="00AC3B62">
        <w:rPr>
          <w:rFonts w:ascii="Times New Roman" w:eastAsia="Times New Roman" w:hAnsi="Times New Roman" w:cs="Times New Roman"/>
          <w:sz w:val="24"/>
          <w:szCs w:val="24"/>
          <w:lang w:eastAsia="el-GR"/>
        </w:rPr>
        <w:t>ββ</w:t>
      </w:r>
      <w:proofErr w:type="spellEnd"/>
      <w:r w:rsidRPr="00AC3B62">
        <w:rPr>
          <w:rFonts w:ascii="Times New Roman" w:eastAsia="Times New Roman" w:hAnsi="Times New Roman" w:cs="Times New Roman"/>
          <w:sz w:val="24"/>
          <w:szCs w:val="24"/>
          <w:lang w:eastAsia="el-GR"/>
        </w:rPr>
        <w:t xml:space="preserve">) και του </w:t>
      </w:r>
      <w:hyperlink r:id="rId6" w:history="1">
        <w:r w:rsidRPr="00AC3B62">
          <w:rPr>
            <w:rFonts w:ascii="Times New Roman" w:eastAsia="Times New Roman" w:hAnsi="Times New Roman" w:cs="Times New Roman"/>
            <w:color w:val="0000FF"/>
            <w:sz w:val="24"/>
            <w:szCs w:val="24"/>
            <w:u w:val="single"/>
            <w:lang w:eastAsia="el-GR"/>
          </w:rPr>
          <w:t>άρθρου 3 παρ. 3</w:t>
        </w:r>
      </w:hyperlink>
      <w:r w:rsidRPr="00AC3B62">
        <w:rPr>
          <w:rFonts w:ascii="Times New Roman" w:eastAsia="Times New Roman" w:hAnsi="Times New Roman" w:cs="Times New Roman"/>
          <w:sz w:val="24"/>
          <w:szCs w:val="24"/>
          <w:lang w:eastAsia="el-GR"/>
        </w:rPr>
        <w:t xml:space="preserve"> αυτού.</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2. Τον κανονισμό (ΕΕ) αριθ. 702/2014 της Επιτροπής της 25ης Ιουνίου 2014 για την κήρυξη ορισμένων κατηγοριών ενισχύσεων στους τομείς της γεωργίας και δασοκομίας και σε αγροτικές περιοχές συμβιβάσιμων με την εσωτερική αγορά κατ’ εφαρμογή των άρθρων 107 και 108 της Συνθήκης για τη λειτουργία της Ευρωπαϊκής Ένωσης, και ειδικότερα το άρθρο 14 παράγραφος 12 αυτού (Επίσημη Εφημερίδα της ΕΕ, L 193 της 1-7-2014), όπως τροποποιήθηκε από τον κανονισμό (ΕΕ) 2017/1084 της Επιτροπής, της 14 Ιουνίου 2017, για την τροποποίηση του κανονισμού (ΕΕ) αριθ. </w:t>
      </w:r>
      <w:hyperlink r:id="rId7" w:tgtFrame="_blank" w:history="1">
        <w:r w:rsidRPr="00AC3B62">
          <w:rPr>
            <w:rFonts w:ascii="Times New Roman" w:eastAsia="Times New Roman" w:hAnsi="Times New Roman" w:cs="Times New Roman"/>
            <w:color w:val="0000FF"/>
            <w:sz w:val="24"/>
            <w:szCs w:val="24"/>
            <w:u w:val="single"/>
            <w:lang w:eastAsia="el-GR"/>
          </w:rPr>
          <w:t>651/2014</w:t>
        </w:r>
      </w:hyperlink>
      <w:r w:rsidRPr="00AC3B62">
        <w:rPr>
          <w:rFonts w:ascii="Times New Roman" w:eastAsia="Times New Roman" w:hAnsi="Times New Roman" w:cs="Times New Roman"/>
          <w:sz w:val="24"/>
          <w:szCs w:val="24"/>
          <w:lang w:eastAsia="el-GR"/>
        </w:rPr>
        <w:t xml:space="preserve"> όσον αφορά τις ενισχύσεις για τις λιμενικές και αερολιμενικές υποδομές, τα όρια κοινοποίησης για τις ενισχύσεις για τον πολιτισμό και τη διατήρηση της κληρονομιάς και για τις ενισχύσεις για αθλητικές υποδομές και </w:t>
      </w:r>
      <w:proofErr w:type="spellStart"/>
      <w:r w:rsidRPr="00AC3B62">
        <w:rPr>
          <w:rFonts w:ascii="Times New Roman" w:eastAsia="Times New Roman" w:hAnsi="Times New Roman" w:cs="Times New Roman"/>
          <w:sz w:val="24"/>
          <w:szCs w:val="24"/>
          <w:lang w:eastAsia="el-GR"/>
        </w:rPr>
        <w:t>πολυλειτουργικές</w:t>
      </w:r>
      <w:proofErr w:type="spellEnd"/>
      <w:r w:rsidRPr="00AC3B62">
        <w:rPr>
          <w:rFonts w:ascii="Times New Roman" w:eastAsia="Times New Roman" w:hAnsi="Times New Roman" w:cs="Times New Roman"/>
          <w:sz w:val="24"/>
          <w:szCs w:val="24"/>
          <w:lang w:eastAsia="el-GR"/>
        </w:rPr>
        <w:t xml:space="preserve"> ψυχαγωγικές υποδομές, καθώς και τα καθεστώτα περιφερειακών ενισχύσεων λειτουργίας για τις εξόχως απόκεντρες περιοχές, και για την τροποποίηση του κανονισμού (ΕΕ) αριθ. 702/2014 όσον αφορά τον υπολογισμό των επιλέξιμων δαπανών (Επίσημη Εφημερίδα της ΕΕ, L 156 της 20-6-2017).</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3. Τον κανονισμό (ΕΕ) αριθ. 1308/2013 του Ευρωπαϊκού Κοινοβουλίου και του Συμβουλίου της 17ης Δεκεμβρίου 2013 για τη θέσπιση κοινής οργάνωσης των αγορών γεωργικών προϊόντων και την κατάργηση των κανονισμών (ΕΟΚ) αριθ. 922/72, (ΕΟΚ) αριθ. 234/79, (ΕΚ) αριθ. 1037/2001 και (ΕΚ) αριθ. 1234/2007 του Συμβουλίου (ΕΕ L 347 της 20-12-2013, σ. 671).</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lastRenderedPageBreak/>
        <w:t>4. Το παράρτημα Ι της Συνθήκης για τη Λειτουργία της Ευρωπαϊκής Ένωσης.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5. Το άρθρο 90 του «Κώδικα για την Κυβέρνηση και Κυβερνητικά Όργανα» που κυρώθηκε με το άρθρο πρώτο του </w:t>
      </w:r>
      <w:proofErr w:type="spellStart"/>
      <w:r w:rsidRPr="00AC3B62">
        <w:rPr>
          <w:rFonts w:ascii="Times New Roman" w:eastAsia="Times New Roman" w:hAnsi="Times New Roman" w:cs="Times New Roman"/>
          <w:sz w:val="24"/>
          <w:szCs w:val="24"/>
          <w:lang w:eastAsia="el-GR"/>
        </w:rPr>
        <w:t>π.δ</w:t>
      </w:r>
      <w:proofErr w:type="spellEnd"/>
      <w:r w:rsidRPr="00AC3B62">
        <w:rPr>
          <w:rFonts w:ascii="Times New Roman" w:eastAsia="Times New Roman" w:hAnsi="Times New Roman" w:cs="Times New Roman"/>
          <w:sz w:val="24"/>
          <w:szCs w:val="24"/>
          <w:lang w:eastAsia="el-GR"/>
        </w:rPr>
        <w:t>. 63/2005, (Α’98).</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6. Τις διατάξεις του </w:t>
      </w:r>
      <w:proofErr w:type="spellStart"/>
      <w:r w:rsidRPr="00AC3B62">
        <w:rPr>
          <w:rFonts w:ascii="Times New Roman" w:eastAsia="Times New Roman" w:hAnsi="Times New Roman" w:cs="Times New Roman"/>
          <w:sz w:val="24"/>
          <w:szCs w:val="24"/>
          <w:lang w:eastAsia="el-GR"/>
        </w:rPr>
        <w:t>π.δ</w:t>
      </w:r>
      <w:proofErr w:type="spellEnd"/>
      <w:r w:rsidRPr="00AC3B62">
        <w:rPr>
          <w:rFonts w:ascii="Times New Roman" w:eastAsia="Times New Roman" w:hAnsi="Times New Roman" w:cs="Times New Roman"/>
          <w:sz w:val="24"/>
          <w:szCs w:val="24"/>
          <w:lang w:eastAsia="el-GR"/>
        </w:rPr>
        <w:t>. 116/2014 «Οργανισμός του Υπουργείου Ανάπτυξης και Ανταγωνιστικότητας» (Α’ 185), όπως ισχύει.</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7. Τις διατάξεις του </w:t>
      </w:r>
      <w:proofErr w:type="spellStart"/>
      <w:r w:rsidRPr="00AC3B62">
        <w:rPr>
          <w:rFonts w:ascii="Times New Roman" w:eastAsia="Times New Roman" w:hAnsi="Times New Roman" w:cs="Times New Roman"/>
          <w:sz w:val="24"/>
          <w:szCs w:val="24"/>
          <w:lang w:eastAsia="el-GR"/>
        </w:rPr>
        <w:t>π.δ</w:t>
      </w:r>
      <w:proofErr w:type="spellEnd"/>
      <w:r w:rsidRPr="00AC3B62">
        <w:rPr>
          <w:rFonts w:ascii="Times New Roman" w:eastAsia="Times New Roman" w:hAnsi="Times New Roman" w:cs="Times New Roman"/>
          <w:sz w:val="24"/>
          <w:szCs w:val="24"/>
          <w:lang w:eastAsia="el-GR"/>
        </w:rPr>
        <w:t>. 123/2016 «Ανασύσταση και μετονομασία του Υπουργείου Διοικητικής Μεταρρύθμισης και Ηλεκτρονικής Διακυβέρνησης, ανασύσταση του Υπουργείου Τουρισμού, σύσταση Υπουργείου Μεταναστευτικής Πολιτικής και Υπουργείου Ψηφιακής Πολιτικής, Τηλεπικοινωνιών και Ενημέρωσης, μετονομασία Υπουργείων Εσωτερικών και Διοικητικής Ανασυγκρότησης, Οικονομίας, Ανάπτυξης και Τουρισμού και Υποδομών, Μεταφορών και Δικτύων» (Α’208).</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8. Το </w:t>
      </w:r>
      <w:proofErr w:type="spellStart"/>
      <w:r w:rsidRPr="00AC3B62">
        <w:rPr>
          <w:rFonts w:ascii="Times New Roman" w:eastAsia="Times New Roman" w:hAnsi="Times New Roman" w:cs="Times New Roman"/>
          <w:sz w:val="24"/>
          <w:szCs w:val="24"/>
          <w:lang w:eastAsia="el-GR"/>
        </w:rPr>
        <w:t>π.δ</w:t>
      </w:r>
      <w:proofErr w:type="spellEnd"/>
      <w:r w:rsidRPr="00AC3B62">
        <w:rPr>
          <w:rFonts w:ascii="Times New Roman" w:eastAsia="Times New Roman" w:hAnsi="Times New Roman" w:cs="Times New Roman"/>
          <w:sz w:val="24"/>
          <w:szCs w:val="24"/>
          <w:lang w:eastAsia="el-GR"/>
        </w:rPr>
        <w:t>. 125/2016 «Διορισμός Υπουργών, Αναπληρωτών Υπουργών και Υφυπουργών» (Α’210).</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9. Την απόφαση του Πρωθυπουργού με αρ. Υ197/ 16-11-2016 «Ανάθεση αρμοδιοτήτων στον Αναπληρωτή Υπουργό Οικονομίας και Ανάπτυξης, Αλέξανδρο </w:t>
      </w:r>
      <w:proofErr w:type="spellStart"/>
      <w:r w:rsidRPr="00AC3B62">
        <w:rPr>
          <w:rFonts w:ascii="Times New Roman" w:eastAsia="Times New Roman" w:hAnsi="Times New Roman" w:cs="Times New Roman"/>
          <w:sz w:val="24"/>
          <w:szCs w:val="24"/>
          <w:lang w:eastAsia="el-GR"/>
        </w:rPr>
        <w:t>Χαρίτση</w:t>
      </w:r>
      <w:proofErr w:type="spellEnd"/>
      <w:r w:rsidRPr="00AC3B62">
        <w:rPr>
          <w:rFonts w:ascii="Times New Roman" w:eastAsia="Times New Roman" w:hAnsi="Times New Roman" w:cs="Times New Roman"/>
          <w:sz w:val="24"/>
          <w:szCs w:val="24"/>
          <w:lang w:eastAsia="el-GR"/>
        </w:rPr>
        <w:t xml:space="preserve">» (ΦΕΚ Β’ 3722), όπως τροποποιήθηκε με την απόφαση του πρωθυπουργού με αρ. Υ226/28-12-2016 «Τροποποίηση απόφασης ανάθεσης αρμοδιοτήτων στον Αναπληρωτή Υπουργό Οικονομίας και Ανάπτυξης, Αλέξανδρο </w:t>
      </w:r>
      <w:proofErr w:type="spellStart"/>
      <w:r w:rsidRPr="00AC3B62">
        <w:rPr>
          <w:rFonts w:ascii="Times New Roman" w:eastAsia="Times New Roman" w:hAnsi="Times New Roman" w:cs="Times New Roman"/>
          <w:sz w:val="24"/>
          <w:szCs w:val="24"/>
          <w:lang w:eastAsia="el-GR"/>
        </w:rPr>
        <w:t>Χαρίτση</w:t>
      </w:r>
      <w:proofErr w:type="spellEnd"/>
      <w:r w:rsidRPr="00AC3B62">
        <w:rPr>
          <w:rFonts w:ascii="Times New Roman" w:eastAsia="Times New Roman" w:hAnsi="Times New Roman" w:cs="Times New Roman"/>
          <w:sz w:val="24"/>
          <w:szCs w:val="24"/>
          <w:lang w:eastAsia="el-GR"/>
        </w:rPr>
        <w:t>» (Β’4233).</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10. Τις διατάξεις του </w:t>
      </w:r>
      <w:proofErr w:type="spellStart"/>
      <w:r w:rsidRPr="00AC3B62">
        <w:rPr>
          <w:rFonts w:ascii="Times New Roman" w:eastAsia="Times New Roman" w:hAnsi="Times New Roman" w:cs="Times New Roman"/>
          <w:sz w:val="24"/>
          <w:szCs w:val="24"/>
          <w:lang w:eastAsia="el-GR"/>
        </w:rPr>
        <w:t>π.δ</w:t>
      </w:r>
      <w:proofErr w:type="spellEnd"/>
      <w:r w:rsidRPr="00AC3B62">
        <w:rPr>
          <w:rFonts w:ascii="Times New Roman" w:eastAsia="Times New Roman" w:hAnsi="Times New Roman" w:cs="Times New Roman"/>
          <w:sz w:val="24"/>
          <w:szCs w:val="24"/>
          <w:lang w:eastAsia="el-GR"/>
        </w:rPr>
        <w:t>. 97/2017 «Οργανισμός του Υπουργείου Αγροτικής Ανάπτυξης και Τροφίμων» (Α’138).</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11. Το γεγονός ότι από τις διατάξεις της παρούσας απόφασης δεν προκαλείται δαπάνη σε βάρος του κρατικού προϋπολογισμού.</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12. Τον κανονισμό (ΕΕ) αριθ. </w:t>
      </w:r>
      <w:hyperlink r:id="rId8" w:tgtFrame="_blank" w:history="1">
        <w:r w:rsidRPr="00AC3B62">
          <w:rPr>
            <w:rFonts w:ascii="Times New Roman" w:eastAsia="Times New Roman" w:hAnsi="Times New Roman" w:cs="Times New Roman"/>
            <w:color w:val="0000FF"/>
            <w:sz w:val="24"/>
            <w:szCs w:val="24"/>
            <w:u w:val="single"/>
            <w:lang w:eastAsia="el-GR"/>
          </w:rPr>
          <w:t>651/2014</w:t>
        </w:r>
      </w:hyperlink>
      <w:r w:rsidRPr="00AC3B62">
        <w:rPr>
          <w:rFonts w:ascii="Times New Roman" w:eastAsia="Times New Roman" w:hAnsi="Times New Roman" w:cs="Times New Roman"/>
          <w:sz w:val="24"/>
          <w:szCs w:val="24"/>
          <w:lang w:eastAsia="el-GR"/>
        </w:rPr>
        <w:t xml:space="preserve"> της Επιτροπής της 17ης Ιουνίου 2014 για την κήρυξη ορισμένων κατηγοριών ενισχύσεων ως συμβατών με την εσωτερική αγορά κατ’ εφαρμογή των άρθρων 107 και 108 της Συνθήκης, </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i/>
          <w:iCs/>
          <w:sz w:val="24"/>
          <w:szCs w:val="24"/>
          <w:lang w:eastAsia="el-GR"/>
        </w:rPr>
        <w:br/>
      </w:r>
      <w:r w:rsidRPr="00AC3B62">
        <w:rPr>
          <w:rFonts w:ascii="Times New Roman" w:eastAsia="Times New Roman" w:hAnsi="Times New Roman" w:cs="Times New Roman"/>
          <w:b/>
          <w:bCs/>
          <w:i/>
          <w:iCs/>
          <w:sz w:val="24"/>
          <w:szCs w:val="24"/>
          <w:lang w:eastAsia="el-GR"/>
        </w:rPr>
        <w:t>αποφασίζουμε:</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b/>
          <w:bCs/>
          <w:sz w:val="24"/>
          <w:szCs w:val="24"/>
          <w:lang w:eastAsia="el-GR"/>
        </w:rPr>
        <w:t xml:space="preserve">Άρθρο 1 </w:t>
      </w:r>
      <w:r w:rsidRPr="00AC3B62">
        <w:rPr>
          <w:rFonts w:ascii="Times New Roman" w:eastAsia="Times New Roman" w:hAnsi="Times New Roman" w:cs="Times New Roman"/>
          <w:b/>
          <w:bCs/>
          <w:sz w:val="24"/>
          <w:szCs w:val="24"/>
          <w:lang w:eastAsia="el-GR"/>
        </w:rPr>
        <w:br/>
        <w:t>ΟΡΙΣΜΟΙ</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1. Με τον όρο «γεωργικά προϊόντα» νοούνται τα προϊόντα που απαριθμούνται στο παράρτημα Ι της συνθήκης εξαιρουμένων των προϊόντων αλιείας και υδατοκαλλιέργειας που απαριθμούνται στο παράρτημα Ι του κανονισμού (ΕΕ) </w:t>
      </w:r>
      <w:proofErr w:type="spellStart"/>
      <w:r w:rsidRPr="00AC3B62">
        <w:rPr>
          <w:rFonts w:ascii="Times New Roman" w:eastAsia="Times New Roman" w:hAnsi="Times New Roman" w:cs="Times New Roman"/>
          <w:sz w:val="24"/>
          <w:szCs w:val="24"/>
          <w:lang w:eastAsia="el-GR"/>
        </w:rPr>
        <w:t>αριθμ</w:t>
      </w:r>
      <w:proofErr w:type="spellEnd"/>
      <w:r w:rsidRPr="00AC3B62">
        <w:rPr>
          <w:rFonts w:ascii="Times New Roman" w:eastAsia="Times New Roman" w:hAnsi="Times New Roman" w:cs="Times New Roman"/>
          <w:sz w:val="24"/>
          <w:szCs w:val="24"/>
          <w:lang w:eastAsia="el-GR"/>
        </w:rPr>
        <w:t xml:space="preserve">. 1379/2013 του Ευρωπαϊκού Κοινοβουλίου και του Συμβουλίου. (Άρθρο 2 στοιχείο 4 του καν (ΕΕ) </w:t>
      </w:r>
      <w:proofErr w:type="spellStart"/>
      <w:r w:rsidRPr="00AC3B62">
        <w:rPr>
          <w:rFonts w:ascii="Times New Roman" w:eastAsia="Times New Roman" w:hAnsi="Times New Roman" w:cs="Times New Roman"/>
          <w:sz w:val="24"/>
          <w:szCs w:val="24"/>
          <w:lang w:eastAsia="el-GR"/>
        </w:rPr>
        <w:t>αριθμ</w:t>
      </w:r>
      <w:proofErr w:type="spellEnd"/>
      <w:r w:rsidRPr="00AC3B62">
        <w:rPr>
          <w:rFonts w:ascii="Times New Roman" w:eastAsia="Times New Roman" w:hAnsi="Times New Roman" w:cs="Times New Roman"/>
          <w:sz w:val="24"/>
          <w:szCs w:val="24"/>
          <w:lang w:eastAsia="el-GR"/>
        </w:rPr>
        <w:t>. 702/2014).</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2. Με τον όρο «πρωτογενής γεωργική παραγωγή» νοείται η παραγωγή προϊόντων του εδάφους και της κτηνοτροφίας που απαριθμούνται στο παράρτημα Ι της συνθήκης, χωρίς να εκτελούνται περαιτέρω εργασίες που μεταβάλλουν τη φύση των προϊόντων αυτών. [Άρθρο 2 στοιχείο 5 του καν (ΕΕ) </w:t>
      </w:r>
      <w:proofErr w:type="spellStart"/>
      <w:r w:rsidRPr="00AC3B62">
        <w:rPr>
          <w:rFonts w:ascii="Times New Roman" w:eastAsia="Times New Roman" w:hAnsi="Times New Roman" w:cs="Times New Roman"/>
          <w:sz w:val="24"/>
          <w:szCs w:val="24"/>
          <w:lang w:eastAsia="el-GR"/>
        </w:rPr>
        <w:t>αριθμ</w:t>
      </w:r>
      <w:proofErr w:type="spellEnd"/>
      <w:r w:rsidRPr="00AC3B62">
        <w:rPr>
          <w:rFonts w:ascii="Times New Roman" w:eastAsia="Times New Roman" w:hAnsi="Times New Roman" w:cs="Times New Roman"/>
          <w:sz w:val="24"/>
          <w:szCs w:val="24"/>
          <w:lang w:eastAsia="el-GR"/>
        </w:rPr>
        <w:t xml:space="preserve">. 702/2014 και άρθρο 2 στοιχείο 9 του καν. (ΕΕ) </w:t>
      </w:r>
      <w:hyperlink r:id="rId9" w:tgtFrame="_blank" w:history="1">
        <w:r w:rsidRPr="00AC3B62">
          <w:rPr>
            <w:rFonts w:ascii="Times New Roman" w:eastAsia="Times New Roman" w:hAnsi="Times New Roman" w:cs="Times New Roman"/>
            <w:color w:val="0000FF"/>
            <w:sz w:val="24"/>
            <w:szCs w:val="24"/>
            <w:u w:val="single"/>
            <w:lang w:eastAsia="el-GR"/>
          </w:rPr>
          <w:t>651/2014</w:t>
        </w:r>
      </w:hyperlink>
      <w:r w:rsidRPr="00AC3B62">
        <w:rPr>
          <w:rFonts w:ascii="Times New Roman" w:eastAsia="Times New Roman" w:hAnsi="Times New Roman" w:cs="Times New Roman"/>
          <w:sz w:val="24"/>
          <w:szCs w:val="24"/>
          <w:lang w:eastAsia="el-GR"/>
        </w:rPr>
        <w:t xml:space="preserve"> της επιτροπής (Γ.Α.Κ.)]</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lastRenderedPageBreak/>
        <w:br/>
        <w:t>3. Με τον όρο «γεωργική εκμετάλλευση» νοείται η μονάδα που αποτελείται από γη, εγκαταστάσεις και εξοπλισμό που χρησιμοποιούνται στην πρωτογενή γεωργική παραγωγή. (Άρθρο 2 στοιχείο 8 του καν (ΕΕ).</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b/>
          <w:bCs/>
          <w:sz w:val="24"/>
          <w:szCs w:val="24"/>
          <w:lang w:eastAsia="el-GR"/>
        </w:rPr>
        <w:t>Άρθρο 2</w:t>
      </w:r>
      <w:r w:rsidRPr="00AC3B62">
        <w:rPr>
          <w:rFonts w:ascii="Times New Roman" w:eastAsia="Times New Roman" w:hAnsi="Times New Roman" w:cs="Times New Roman"/>
          <w:b/>
          <w:bCs/>
          <w:sz w:val="24"/>
          <w:szCs w:val="24"/>
          <w:lang w:eastAsia="el-GR"/>
        </w:rPr>
        <w:br/>
        <w:t>ΓΕΝΙΚΕΣ ΠΡΟΔΙΑΓΡΑΦΕΣ ΠΡΟΫΠΟΘΕΣΕΙΣ - ΟΡΟΙ - ΠΕΡΙΟΡΙΣΜΟΙ</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 xml:space="preserve">1. Τα επενδυτικά σχέδια που εμπίπτουν στο πεδίο εφαρμογής της παρούσας απόφασης, μπορεί να αφορούν είτε σε ίδρυση νέας μονάδας, είτε σε επέκταση υφιστάμενης μονάδας, είτε σε εκσυγχρονισμό, με ή χωρίς μετεγκατάσταση, υφιστάμενης μονάδας, υπό τις προϋποθέσεις της </w:t>
      </w:r>
      <w:hyperlink r:id="rId10" w:history="1">
        <w:r w:rsidRPr="00AC3B62">
          <w:rPr>
            <w:rFonts w:ascii="Times New Roman" w:eastAsia="Times New Roman" w:hAnsi="Times New Roman" w:cs="Times New Roman"/>
            <w:color w:val="0000FF"/>
            <w:sz w:val="24"/>
            <w:szCs w:val="24"/>
            <w:u w:val="single"/>
            <w:lang w:eastAsia="el-GR"/>
          </w:rPr>
          <w:t>παραγράφου 3</w:t>
        </w:r>
      </w:hyperlink>
      <w:r w:rsidRPr="00AC3B62">
        <w:rPr>
          <w:rFonts w:ascii="Times New Roman" w:eastAsia="Times New Roman" w:hAnsi="Times New Roman" w:cs="Times New Roman"/>
          <w:sz w:val="24"/>
          <w:szCs w:val="24"/>
          <w:lang w:eastAsia="el-GR"/>
        </w:rPr>
        <w:t xml:space="preserve"> του </w:t>
      </w:r>
      <w:hyperlink r:id="rId11" w:history="1">
        <w:r w:rsidRPr="00AC3B62">
          <w:rPr>
            <w:rFonts w:ascii="Times New Roman" w:eastAsia="Times New Roman" w:hAnsi="Times New Roman" w:cs="Times New Roman"/>
            <w:color w:val="0000FF"/>
            <w:sz w:val="24"/>
            <w:szCs w:val="24"/>
            <w:u w:val="single"/>
            <w:lang w:eastAsia="el-GR"/>
          </w:rPr>
          <w:t>άρθρου 5</w:t>
        </w:r>
      </w:hyperlink>
      <w:r w:rsidRPr="00AC3B62">
        <w:rPr>
          <w:rFonts w:ascii="Times New Roman" w:eastAsia="Times New Roman" w:hAnsi="Times New Roman" w:cs="Times New Roman"/>
          <w:sz w:val="24"/>
          <w:szCs w:val="24"/>
          <w:lang w:eastAsia="el-GR"/>
        </w:rPr>
        <w:t xml:space="preserve"> του ν. </w:t>
      </w:r>
      <w:hyperlink r:id="rId12"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color w:val="2448D6"/>
          <w:sz w:val="24"/>
          <w:szCs w:val="24"/>
          <w:lang w:eastAsia="el-GR"/>
        </w:rPr>
        <w:t xml:space="preserve"> </w:t>
      </w:r>
      <w:r w:rsidRPr="00AC3B62">
        <w:rPr>
          <w:rFonts w:ascii="Times New Roman" w:eastAsia="Times New Roman" w:hAnsi="Times New Roman" w:cs="Times New Roman"/>
          <w:sz w:val="24"/>
          <w:szCs w:val="24"/>
          <w:lang w:eastAsia="el-GR"/>
        </w:rPr>
        <w:t xml:space="preserve">(Α’117) και της απόφασης προκήρυξης του συγκεκριμένου καθεστώτος ενίσχυσης του εν λόγω νόμου, με την επιφύλαξη των οριζόμενων στην παράγραφο 6 του άρθρου 3 της παρούσας. Στο πλαίσιο του εκσυγχρονισμού η μονάδα μπορεί να αυξήσει τη δυναμικότητά της, εφόσον αυτό δεν αντίκειται σε συγκεκριμένες κάθε φορά εθνικές ή κοινοτικές διατάξεις και έχει εφοδιαστεί με τις απαραίτητες προς τούτο </w:t>
      </w:r>
      <w:proofErr w:type="spellStart"/>
      <w:r w:rsidRPr="00AC3B62">
        <w:rPr>
          <w:rFonts w:ascii="Times New Roman" w:eastAsia="Times New Roman" w:hAnsi="Times New Roman" w:cs="Times New Roman"/>
          <w:sz w:val="24"/>
          <w:szCs w:val="24"/>
          <w:lang w:eastAsia="el-GR"/>
        </w:rPr>
        <w:t>αδειοδοτήσεις</w:t>
      </w:r>
      <w:proofErr w:type="spellEnd"/>
      <w:r w:rsidRPr="00AC3B62">
        <w:rPr>
          <w:rFonts w:ascii="Times New Roman" w:eastAsia="Times New Roman" w:hAnsi="Times New Roman" w:cs="Times New Roman"/>
          <w:sz w:val="24"/>
          <w:szCs w:val="24"/>
          <w:lang w:eastAsia="el-GR"/>
        </w:rPr>
        <w:t>, με την επιφύλαξη των οριζόμενων στην παράγραφο 6 του άρθρου 3 της παρούσας.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2. Τα επενδυτικά σχέδια θα πρέπει να είναι σύμφωνα με την </w:t>
      </w:r>
      <w:proofErr w:type="spellStart"/>
      <w:r w:rsidRPr="00AC3B62">
        <w:rPr>
          <w:rFonts w:ascii="Times New Roman" w:eastAsia="Times New Roman" w:hAnsi="Times New Roman" w:cs="Times New Roman"/>
          <w:sz w:val="24"/>
          <w:szCs w:val="24"/>
          <w:lang w:eastAsia="el-GR"/>
        </w:rPr>
        <w:t>ενωσιακή</w:t>
      </w:r>
      <w:proofErr w:type="spellEnd"/>
      <w:r w:rsidRPr="00AC3B62">
        <w:rPr>
          <w:rFonts w:ascii="Times New Roman" w:eastAsia="Times New Roman" w:hAnsi="Times New Roman" w:cs="Times New Roman"/>
          <w:sz w:val="24"/>
          <w:szCs w:val="24"/>
          <w:lang w:eastAsia="el-GR"/>
        </w:rPr>
        <w:t xml:space="preserve"> και με την εθνική νομοθεσία για την περιβαλλοντική προστασία. Όταν για ένα επενδυτικό σχέδιο απαιτείται εκτίμηση περιβαλλοντικών επιπτώσεων, σύμφωνα με την οδηγία 2011/92/ΕΕ, η ενίσχυση υπόκειται στην προϋπόθεση ότι η εν λόγω εκτίμηση έχει εκτελεστεί και ότι η άδεια κατασκευής έχει χορηγηθεί για το συγκεκριμένο επενδυτικό σχέδιο πριν από την έκδοση της απόφασης υπαγωγής του σε καθεστώς ενίσχυσης του ν. </w:t>
      </w:r>
      <w:hyperlink r:id="rId13"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Για τον έλεγχο και εφαρμογή της ως άνω προϋπόθεσης στις περιπτώσεις που από την κείμενη νομοθεσία δεν απαιτείται εκτίμηση περιβαλλοντικών επιπτώσεων, απαιτείται η υποβολή με την αίτηση υπαγωγής, μαζί με τα λοιπά δικαιολογητικά που καθορίζονται στην προκήρυξη του συγκεκριμένου καθεστώτος του ν. </w:t>
      </w:r>
      <w:hyperlink r:id="rId14"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βεβαίωσης του αρμόδιου φορέα ότι για το επενδυτικό σχέδιο δεν απαιτείται εκτίμηση περιβαλλοντικών επιπτώσεων. Στις περιπτώσεις που απαιτείται ή εν λόγω εκτίμηση, ο φορέας του επενδυτικού σχεδίου πρέπει, μετά την υποβολή της αίτησης υπαγωγής του επενδυτικού σχεδίου και πριν από την έκδοσή της απόφασης υπαγωγής γι’ αυτό, να προσκομίσει στο φορέα υποδοχής της αίτησης υπαγωγής του, του </w:t>
      </w:r>
      <w:hyperlink r:id="rId15" w:history="1">
        <w:r w:rsidRPr="00AC3B62">
          <w:rPr>
            <w:rFonts w:ascii="Times New Roman" w:eastAsia="Times New Roman" w:hAnsi="Times New Roman" w:cs="Times New Roman"/>
            <w:color w:val="0000FF"/>
            <w:sz w:val="24"/>
            <w:szCs w:val="24"/>
            <w:u w:val="single"/>
            <w:lang w:eastAsia="el-GR"/>
          </w:rPr>
          <w:t>άρθρου 13</w:t>
        </w:r>
      </w:hyperlink>
      <w:r w:rsidRPr="00AC3B62">
        <w:rPr>
          <w:rFonts w:ascii="Times New Roman" w:eastAsia="Times New Roman" w:hAnsi="Times New Roman" w:cs="Times New Roman"/>
          <w:sz w:val="24"/>
          <w:szCs w:val="24"/>
          <w:lang w:eastAsia="el-GR"/>
        </w:rPr>
        <w:t xml:space="preserve"> του ν. </w:t>
      </w:r>
      <w:hyperlink r:id="rId16"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την εν λόγω εκτίμηση καθώς και την άδεια κατασκευής.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3. Το ανώτατο ποσό ενίσχυσης για την υπαγωγή σε καθεστώτα ενισχύσεων του ν. </w:t>
      </w:r>
      <w:hyperlink r:id="rId17"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επενδυτικών σχεδίων που εμπίπτουν στο πεδίο εφαρμογής της παρούσας, δεν μπορεί να υπερβεί τις 500.000 ευρώ ανά επενδυτικό σχέδιο και ανά επιχείρηση (άρθρο 4 παρ. 1 του καν. (ΕΕ) </w:t>
      </w:r>
      <w:proofErr w:type="spellStart"/>
      <w:r w:rsidRPr="00AC3B62">
        <w:rPr>
          <w:rFonts w:ascii="Times New Roman" w:eastAsia="Times New Roman" w:hAnsi="Times New Roman" w:cs="Times New Roman"/>
          <w:sz w:val="24"/>
          <w:szCs w:val="24"/>
          <w:lang w:eastAsia="el-GR"/>
        </w:rPr>
        <w:t>αριθμ</w:t>
      </w:r>
      <w:proofErr w:type="spellEnd"/>
      <w:r w:rsidRPr="00AC3B62">
        <w:rPr>
          <w:rFonts w:ascii="Times New Roman" w:eastAsia="Times New Roman" w:hAnsi="Times New Roman" w:cs="Times New Roman"/>
          <w:sz w:val="24"/>
          <w:szCs w:val="24"/>
          <w:lang w:eastAsia="el-GR"/>
        </w:rPr>
        <w:t>. 702/2014 της επιτροπής). Τα όρια αυτά δεν επιτρέπεται να καταστρατηγούνται με τον τεχνητό διαχωρισμό του επενδυτικού σχεδίου.</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4. Το ανώτατο ποσοστό ενίσχυσης για την υπαγωγή σε καθεστώτα ενισχύσεων του ν. </w:t>
      </w:r>
      <w:hyperlink r:id="rId18"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επενδυτικών σχεδίων που εμπίπτουν στο πεδίο εφαρμογής της παρούσας, δεν μπορεί να υπερβεί, κατ’ εφαρμογή των όρων και περιορισμών του άρθρου 14 παράγραφος 12 στοιχεία β, γ και δ του καν. (ΕΕ) αριθ. 702/2014 της Επιτροπής, τα ακόλουθα ποσοστά:</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lastRenderedPageBreak/>
        <w:br/>
        <w:t>α. Το 55 % του ποσού των επιλέξιμων δαπανών, στα επενδυτικά σχέδια που πραγματοποιούνται στα μικρά νησιά του Αιγαίου Πελάγους, με την επιφύλαξη της επόμενης περίπτωσης β. Ως μικρά νησιά νοούνται, σύμφωνα με το άρθρο 1 παράγραφος 2 του καν. (ΕΕ) 229/2013 του Ευρωπαϊκού Κοινοβουλίου και Συμβουλίου της 13ης Μαρτίου 2013, όλα τα νησιά εκτός από την Κρήτη και την Εύβοια.</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β. Το 40 % του ποσού των επιλέξιμων δαπανών, στα επενδυτικά σχέδια που πραγματοποιούνται στις μη προκαθορισμένες περιοχές «γ» του εγκεκριμένου από την ΕΕ Χάρτη Περιφερειακών Ενισχύσεων για την Ελλάδα με ισχύ από 1-01-2017 έως 31-12-2020 (Παράρτημα της απόφασης στην υπόθεση SA. 46230 (για την τροποποίηση της απόφασης στην υπόθεση SA. 38450)) (ΑΤΤΙΚΗ: Βόρειος τομέας Αθηνών, Δυτικός τομέας Αθηνών, Κεντρικός τομέας Αθηνών, Νότιος τομέας Αθηνών, Ανατολική Αττική, Δυτική Αττική, Πειραιάς, νήσοι, ΝΟΤΙΟ ΑΙΓΑΙΟ: Κάλυμνος, Κάρπαθος, Κως, Ρόδος, Άνδρος, θήρα, Κέα, Μήλος, Μύκονος, Νάξος, Πάρος, Σύρος, Τήνος).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γ. Το 50 % του ποσού των επιλέξιμων δαπανών, στα επενδυτικά σχέδια που πραγματοποιούνται στις υπόλοιπες περιοχές του άρθρου 107 παράγραφος 3 στοιχείο α) της </w:t>
      </w:r>
      <w:hyperlink r:id="rId19" w:tgtFrame="_blank" w:history="1">
        <w:r w:rsidRPr="00AC3B62">
          <w:rPr>
            <w:rFonts w:ascii="Times New Roman" w:eastAsia="Times New Roman" w:hAnsi="Times New Roman" w:cs="Times New Roman"/>
            <w:color w:val="0000FF"/>
            <w:sz w:val="24"/>
            <w:szCs w:val="24"/>
            <w:u w:val="single"/>
            <w:lang w:eastAsia="el-GR"/>
          </w:rPr>
          <w:t>ΣΛΕΕ</w:t>
        </w:r>
      </w:hyperlink>
      <w:r w:rsidRPr="00AC3B62">
        <w:rPr>
          <w:rFonts w:ascii="Times New Roman" w:eastAsia="Times New Roman" w:hAnsi="Times New Roman" w:cs="Times New Roman"/>
          <w:sz w:val="24"/>
          <w:szCs w:val="24"/>
          <w:lang w:eastAsia="el-GR"/>
        </w:rPr>
        <w:t xml:space="preserve"> της ελληνικής Επικράτειας, του εγκεκριμένου από την ΕΕ Χάρτη Περιφερειακών Ενισχύσεων για την Ελλάδα με ισχύ από 1-01-2017 έως 31-12-2020.</w:t>
      </w:r>
      <w:r w:rsidRPr="00AC3B62">
        <w:rPr>
          <w:rFonts w:ascii="Times New Roman" w:eastAsia="Times New Roman" w:hAnsi="Times New Roman" w:cs="Times New Roman"/>
          <w:sz w:val="24"/>
          <w:szCs w:val="24"/>
          <w:lang w:eastAsia="el-GR"/>
        </w:rPr>
        <w:br/>
        <w:t>Τα ανώτατα όρια των επιτρεπόμενων ενισχύσεων σύμφωνα με τα παραπάνω οριζόμενα, καθορίζονται στο Παράρτημα Ι της παρούσας απόφασης.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5. Τα επενδυτικά σχέδια που εμπίπτουν στο πεδίο εφαρμογής της παρούσας, δεν μπορούν να υπαχθούν σε καθεστώτα ενισχύσεων του ν. </w:t>
      </w:r>
      <w:hyperlink r:id="rId20"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σε περιπτώσεις παράβασης απαγορεύσεων ή περιορισμών που ορίζονται στον κανονισμό (ΕΕ) </w:t>
      </w:r>
      <w:proofErr w:type="spellStart"/>
      <w:r w:rsidRPr="00AC3B62">
        <w:rPr>
          <w:rFonts w:ascii="Times New Roman" w:eastAsia="Times New Roman" w:hAnsi="Times New Roman" w:cs="Times New Roman"/>
          <w:sz w:val="24"/>
          <w:szCs w:val="24"/>
          <w:lang w:eastAsia="el-GR"/>
        </w:rPr>
        <w:t>αριθμ</w:t>
      </w:r>
      <w:proofErr w:type="spellEnd"/>
      <w:r w:rsidRPr="00AC3B62">
        <w:rPr>
          <w:rFonts w:ascii="Times New Roman" w:eastAsia="Times New Roman" w:hAnsi="Times New Roman" w:cs="Times New Roman"/>
          <w:sz w:val="24"/>
          <w:szCs w:val="24"/>
          <w:lang w:eastAsia="el-GR"/>
        </w:rPr>
        <w:t xml:space="preserve">. 1308/2013 (Κ.Ο.Α.), ακόμη και όταν οι εν λόγω απαγορεύσεις και περιορισμοί αφορούν μόνο την </w:t>
      </w:r>
      <w:proofErr w:type="spellStart"/>
      <w:r w:rsidRPr="00AC3B62">
        <w:rPr>
          <w:rFonts w:ascii="Times New Roman" w:eastAsia="Times New Roman" w:hAnsi="Times New Roman" w:cs="Times New Roman"/>
          <w:sz w:val="24"/>
          <w:szCs w:val="24"/>
          <w:lang w:eastAsia="el-GR"/>
        </w:rPr>
        <w:t>ενωσιακή</w:t>
      </w:r>
      <w:proofErr w:type="spellEnd"/>
      <w:r w:rsidRPr="00AC3B62">
        <w:rPr>
          <w:rFonts w:ascii="Times New Roman" w:eastAsia="Times New Roman" w:hAnsi="Times New Roman" w:cs="Times New Roman"/>
          <w:sz w:val="24"/>
          <w:szCs w:val="24"/>
          <w:lang w:eastAsia="el-GR"/>
        </w:rPr>
        <w:t xml:space="preserve"> στήριξη που προβλέπεται στον εν λόγω κανονισμό.</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6. Οι ενισχύσεις που χορηγούνται δυνάμει της παρούσας, συμβιβάζονται με την εσωτερική αγορά κατά την έννοια του άρθρου 107 παράγραφος 2 ή 3 της Συνθήκης και απαλλάσσονται από την υποχρέωση κοινοποίησης του άρθρου 108 παράγραφος 3 της Συνθήκης, εφόσον οι ενισχύσεις αυτές πληρούν όλες τις προϋποθέσεις του κεφαλαίου Ι του καν. 702/2014 και του κεφαλαίου Ι του καν. (ΕΕ) </w:t>
      </w:r>
      <w:hyperlink r:id="rId21" w:tgtFrame="_blank" w:history="1">
        <w:r w:rsidRPr="00AC3B62">
          <w:rPr>
            <w:rFonts w:ascii="Times New Roman" w:eastAsia="Times New Roman" w:hAnsi="Times New Roman" w:cs="Times New Roman"/>
            <w:color w:val="0000FF"/>
            <w:sz w:val="24"/>
            <w:szCs w:val="24"/>
            <w:u w:val="single"/>
            <w:lang w:eastAsia="el-GR"/>
          </w:rPr>
          <w:t>651/2014</w:t>
        </w:r>
      </w:hyperlink>
      <w:r w:rsidRPr="00AC3B62">
        <w:rPr>
          <w:rFonts w:ascii="Times New Roman" w:eastAsia="Times New Roman" w:hAnsi="Times New Roman" w:cs="Times New Roman"/>
          <w:sz w:val="24"/>
          <w:szCs w:val="24"/>
          <w:lang w:eastAsia="el-GR"/>
        </w:rPr>
        <w:t>.</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color w:val="0066FF"/>
          <w:sz w:val="24"/>
          <w:szCs w:val="24"/>
          <w:lang w:eastAsia="el-GR"/>
        </w:rPr>
        <w:t>7. Τα επενδυτικά σχέδια που υπάγονται στις διατάξεις της παρούσας δύνανται να περιλαμβάνουν και δραστηριότητες του τομέα μεταποίησης γεωργικών προϊόντων.</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b/>
          <w:bCs/>
          <w:sz w:val="24"/>
          <w:szCs w:val="24"/>
          <w:lang w:eastAsia="el-GR"/>
        </w:rPr>
        <w:t>Άρθρο 3</w:t>
      </w:r>
      <w:r w:rsidRPr="00AC3B62">
        <w:rPr>
          <w:rFonts w:ascii="Times New Roman" w:eastAsia="Times New Roman" w:hAnsi="Times New Roman" w:cs="Times New Roman"/>
          <w:b/>
          <w:bCs/>
          <w:sz w:val="24"/>
          <w:szCs w:val="24"/>
          <w:lang w:eastAsia="el-GR"/>
        </w:rPr>
        <w:br/>
        <w:t>ΥΠΑΓΟΜΕΝΑ ΕΠΕΝΔΥΤΙΚΑ ΣΧΕΔΙΑ ΠΡΟΔΙΑΓΡΑΦΕΣ - ΠΡΟΫΠΟΘΕΣΕΙΣ - ΠΕΡΙΟΡΙΣΜΟΙ - ΟΡΟΙ</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1. Με το επενδυτικό σχέδιο επιδιώκεται τουλάχιστον ένας από τους ακόλουθους στόχους: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α. η βελτίωση των συνολικών επιδόσεων και της βιωσιμότητας της γεωργικής εκμετάλλευσης, ιδίως μέσω της μείωσης του κόστους παραγωγής ή της βελτίωσης και αναδιάταξης της παραγωγής,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lastRenderedPageBreak/>
        <w:br/>
        <w:t>β. η βελτίωση του φυσικού περιβάλλοντος, των συνθηκών υγιεινής ή των προτύπων καλής μεταχείρισης των ζώων, υπό την προϋπόθεση ότι η εν λόγω επένδυση υπερβαίνει τα ισχύοντα πρότυπα της Ευρωπαϊκής Ένωσης,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γ. η δημιουργία και βελτίωση υποδομής που συνδέεται με την ανάπτυξη, την προσαρμογή και τον εκσυγχρονισμό της γεωργίας.</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 xml:space="preserve">2. Επιλέξιμες δαπάνες του επενδυτικού σχεδίου είναι: α. εκείνες που αναφέρονται στο </w:t>
      </w:r>
      <w:hyperlink r:id="rId22" w:history="1">
        <w:r w:rsidRPr="00AC3B62">
          <w:rPr>
            <w:rFonts w:ascii="Times New Roman" w:eastAsia="Times New Roman" w:hAnsi="Times New Roman" w:cs="Times New Roman"/>
            <w:color w:val="0000FF"/>
            <w:sz w:val="24"/>
            <w:szCs w:val="24"/>
            <w:u w:val="single"/>
            <w:lang w:eastAsia="el-GR"/>
          </w:rPr>
          <w:t>άρθρο 8</w:t>
        </w:r>
      </w:hyperlink>
      <w:r w:rsidRPr="00AC3B62">
        <w:rPr>
          <w:rFonts w:ascii="Times New Roman" w:eastAsia="Times New Roman" w:hAnsi="Times New Roman" w:cs="Times New Roman"/>
          <w:sz w:val="24"/>
          <w:szCs w:val="24"/>
          <w:lang w:eastAsia="el-GR"/>
        </w:rPr>
        <w:t xml:space="preserve"> του ν. </w:t>
      </w:r>
      <w:hyperlink r:id="rId23"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εκτός από τις οριζόμενες στο εδάφιο β της παραγράφου 3, στο εδάφιο ε της παραγράφου 3 με εξαίρεση τις δαπάνες για αγορά ή χρηματοδοτική μίσθωση με δυνατότητα αγοράς μηχανημάτων και εξοπλισμού για τον εκσυγχρονισμό ειδικών εγκαταστάσεων (που δεν αφορούν σε κτίρια) και μηχανολογικών εγκαταστάσεων, τις οριζόμενες στην παράγραφο 5 και τις δαπάνες που αφορούν την αγορά τεχνογνωσίας και μη κατοχυρωμένων τεχνικών γνώσεων του εδαφίου α της παραγράφου 4 καθώς και τις δαπάνες για συστήματα διασφάλισης και ελέγχου ποιότητας, πιστοποιήσεων του εδαφίου β της παραγράφου 4, αυτού, και,</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 xml:space="preserve">β. εκείνες που αναφέρονται στο άρθρο 9 παράγραφος 1 του ν. </w:t>
      </w:r>
      <w:hyperlink r:id="rId24"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trike/>
          <w:sz w:val="24"/>
          <w:szCs w:val="24"/>
          <w:lang w:eastAsia="el-GR"/>
        </w:rPr>
        <w:t>3. Μέρος του επενδυτικού σχεδίου μπορεί να συνδέεται με την παραγωγή, σε επίπεδο γεωργικής εκμετάλλευσης, ενέργειας από ανανεώσιμες πηγές για την κάλυψη των αναγκών της μονάδας (</w:t>
      </w:r>
      <w:proofErr w:type="spellStart"/>
      <w:r w:rsidRPr="00AC3B62">
        <w:rPr>
          <w:rFonts w:ascii="Times New Roman" w:eastAsia="Times New Roman" w:hAnsi="Times New Roman" w:cs="Times New Roman"/>
          <w:strike/>
          <w:sz w:val="24"/>
          <w:szCs w:val="24"/>
          <w:lang w:eastAsia="el-GR"/>
        </w:rPr>
        <w:t>ιδιοκατανάλωση</w:t>
      </w:r>
      <w:proofErr w:type="spellEnd"/>
      <w:r w:rsidRPr="00AC3B62">
        <w:rPr>
          <w:rFonts w:ascii="Times New Roman" w:eastAsia="Times New Roman" w:hAnsi="Times New Roman" w:cs="Times New Roman"/>
          <w:strike/>
          <w:sz w:val="24"/>
          <w:szCs w:val="24"/>
          <w:lang w:eastAsia="el-GR"/>
        </w:rPr>
        <w:t xml:space="preserve">), υπό την προϋπόθεση ότι η παραγωγή δεν υπερβαίνει τη μέση ετήσια κατανάλωση ενέργειας από τη συγκεκριμένη γεωργική εκμετάλλευση. Όταν η επένδυση γίνεται για την παραγωγή θερμικής και ηλεκτρικής ενέργειας από ανανεώσιμες πηγές, οι εγκαταστάσεις παραγωγής ενέργειας εξυπηρετούν μόνο τις ενεργειακές ανάγκες της συγκεκριμένης γεωργικής εκμετάλλευσης και η παραγωγική τους ικανότητα δεν υπερβαίνει το αντίστοιχο ύψος της συνδυασμένης μέσης ετήσιας κατανάλωσης θερμικής και ηλεκτρικής ενέργειας στη γεωργική εκμετάλλευση, συμπεριλαμβανομένου και του γεωργικού νοικοκυριού. Η πώληση της ηλεκτρικής ενέργειας στο δίκτυο επιτρέπεται μόνο εφόσον τηρείται το ετήσιο όριο </w:t>
      </w:r>
      <w:proofErr w:type="spellStart"/>
      <w:r w:rsidRPr="00AC3B62">
        <w:rPr>
          <w:rFonts w:ascii="Times New Roman" w:eastAsia="Times New Roman" w:hAnsi="Times New Roman" w:cs="Times New Roman"/>
          <w:strike/>
          <w:sz w:val="24"/>
          <w:szCs w:val="24"/>
          <w:lang w:eastAsia="el-GR"/>
        </w:rPr>
        <w:t>ιδιοκατανάλωσης</w:t>
      </w:r>
      <w:proofErr w:type="spellEnd"/>
      <w:r w:rsidRPr="00AC3B62">
        <w:rPr>
          <w:rFonts w:ascii="Times New Roman" w:eastAsia="Times New Roman" w:hAnsi="Times New Roman" w:cs="Times New Roman"/>
          <w:strike/>
          <w:sz w:val="24"/>
          <w:szCs w:val="24"/>
          <w:lang w:eastAsia="el-GR"/>
        </w:rPr>
        <w:t xml:space="preserve">. Όταν η επένδυση παραγωγής ενέργειας πραγματοποιείται από περισσότερες γεωργικές εκμεταλλεύσεις, με σκοπό να εξυπηρετήσουν τις δικές τους ανάγκες για ενέργεια, η μέση ετήσια κατανάλωση είναι σωρευτική με το ποσό που ισοδυναμεί με τη μέση ετήσια κατανάλωση όλων των εν λόγω γεωργικών εκμεταλλεύσεων. Οι επενδύσεις σε υποδομές ανανεώσιμης ενέργειας που καταναλώνουν ή παράγουν ενέργεια πρέπει να συμμορφώνονται με τα ελάχιστα πρότυπα για την ενεργειακή απόδοση, εφόσον υπάρχουν τέτοια πρότυπα. Δεν είναι επιλέξιμες οι επενδύσεις σε εγκαταστάσεις, ο πρωταρχικός σκοπός των οποίων είναι η παραγωγή ηλεκτρικής ενέργειας από βιομάζα. Όταν οι επενδύσεις πραγματοποιούνται για την παραγωγή </w:t>
      </w:r>
      <w:proofErr w:type="spellStart"/>
      <w:r w:rsidRPr="00AC3B62">
        <w:rPr>
          <w:rFonts w:ascii="Times New Roman" w:eastAsia="Times New Roman" w:hAnsi="Times New Roman" w:cs="Times New Roman"/>
          <w:strike/>
          <w:sz w:val="24"/>
          <w:szCs w:val="24"/>
          <w:lang w:eastAsia="el-GR"/>
        </w:rPr>
        <w:t>βιοκαυσίμων</w:t>
      </w:r>
      <w:proofErr w:type="spellEnd"/>
      <w:r w:rsidRPr="00AC3B62">
        <w:rPr>
          <w:rFonts w:ascii="Times New Roman" w:eastAsia="Times New Roman" w:hAnsi="Times New Roman" w:cs="Times New Roman"/>
          <w:strike/>
          <w:sz w:val="24"/>
          <w:szCs w:val="24"/>
          <w:lang w:eastAsia="el-GR"/>
        </w:rPr>
        <w:t xml:space="preserve">, η παραγωγική ικανότητα των εγκαταστάσεων παραγωγής δεν πρέπει να είναι μεγαλύτερη από την αντίστοιχη μέση ετήσια κατανάλωση καυσίμων μεταφορών στη γεωργική εκμετάλλευση και τα παραγόμενα </w:t>
      </w:r>
      <w:proofErr w:type="spellStart"/>
      <w:r w:rsidRPr="00AC3B62">
        <w:rPr>
          <w:rFonts w:ascii="Times New Roman" w:eastAsia="Times New Roman" w:hAnsi="Times New Roman" w:cs="Times New Roman"/>
          <w:strike/>
          <w:sz w:val="24"/>
          <w:szCs w:val="24"/>
          <w:lang w:eastAsia="el-GR"/>
        </w:rPr>
        <w:t>βιοκαύσιμα</w:t>
      </w:r>
      <w:proofErr w:type="spellEnd"/>
      <w:r w:rsidRPr="00AC3B62">
        <w:rPr>
          <w:rFonts w:ascii="Times New Roman" w:eastAsia="Times New Roman" w:hAnsi="Times New Roman" w:cs="Times New Roman"/>
          <w:strike/>
          <w:sz w:val="24"/>
          <w:szCs w:val="24"/>
          <w:lang w:eastAsia="el-GR"/>
        </w:rPr>
        <w:t xml:space="preserve"> δεν πρέπει να πωλούνται στην αγορά.</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color w:val="2448D6"/>
          <w:sz w:val="24"/>
          <w:szCs w:val="24"/>
          <w:lang w:eastAsia="el-GR"/>
        </w:rPr>
        <w:t>3</w:t>
      </w:r>
      <w:r w:rsidRPr="00AC3B62">
        <w:rPr>
          <w:rFonts w:ascii="Times New Roman" w:eastAsia="Times New Roman" w:hAnsi="Times New Roman" w:cs="Times New Roman"/>
          <w:sz w:val="24"/>
          <w:szCs w:val="24"/>
          <w:lang w:eastAsia="el-GR"/>
        </w:rPr>
        <w:t xml:space="preserve">. Για τα επενδυτικά σχέδια που εμπίπτουν στο πεδίο εφαρμογής της παρούσας, δεν μπορούν να ενισχυθούν βάσει καθεστώτων ενίσχυσης του ν. </w:t>
      </w:r>
      <w:hyperlink r:id="rId25"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δαπάνες για: </w:t>
      </w:r>
      <w:r w:rsidRPr="00AC3B62">
        <w:rPr>
          <w:rFonts w:ascii="Times New Roman" w:eastAsia="Times New Roman" w:hAnsi="Times New Roman" w:cs="Times New Roman"/>
          <w:sz w:val="24"/>
          <w:szCs w:val="24"/>
          <w:lang w:eastAsia="el-GR"/>
        </w:rPr>
        <w:br/>
        <w:t xml:space="preserve">α. την αγορά δικαιωμάτων παραγωγής, δικαιωμάτων ενίσχυσης και μονοετών φυτών, </w:t>
      </w:r>
      <w:r w:rsidRPr="00AC3B62">
        <w:rPr>
          <w:rFonts w:ascii="Times New Roman" w:eastAsia="Times New Roman" w:hAnsi="Times New Roman" w:cs="Times New Roman"/>
          <w:sz w:val="24"/>
          <w:szCs w:val="24"/>
          <w:lang w:eastAsia="el-GR"/>
        </w:rPr>
        <w:br/>
        <w:t xml:space="preserve">β. τη φύτευση μονοετών φυτών, </w:t>
      </w:r>
      <w:r w:rsidRPr="00AC3B62">
        <w:rPr>
          <w:rFonts w:ascii="Times New Roman" w:eastAsia="Times New Roman" w:hAnsi="Times New Roman" w:cs="Times New Roman"/>
          <w:sz w:val="24"/>
          <w:szCs w:val="24"/>
          <w:lang w:eastAsia="el-GR"/>
        </w:rPr>
        <w:br/>
        <w:t>γ. εργασίες αποστράγγισης,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lastRenderedPageBreak/>
        <w:t>δ. την αγορά ζώων,</w:t>
      </w:r>
      <w:r w:rsidRPr="00AC3B62">
        <w:rPr>
          <w:rFonts w:ascii="Times New Roman" w:eastAsia="Times New Roman" w:hAnsi="Times New Roman" w:cs="Times New Roman"/>
          <w:sz w:val="24"/>
          <w:szCs w:val="24"/>
          <w:lang w:eastAsia="el-GR"/>
        </w:rPr>
        <w:br/>
        <w:t xml:space="preserve">ε. επενδύσεις με σκοπό τη συμμόρφωση με τα ισχύοντα </w:t>
      </w:r>
      <w:proofErr w:type="spellStart"/>
      <w:r w:rsidRPr="00AC3B62">
        <w:rPr>
          <w:rFonts w:ascii="Times New Roman" w:eastAsia="Times New Roman" w:hAnsi="Times New Roman" w:cs="Times New Roman"/>
          <w:sz w:val="24"/>
          <w:szCs w:val="24"/>
          <w:lang w:eastAsia="el-GR"/>
        </w:rPr>
        <w:t>ενωσιακά</w:t>
      </w:r>
      <w:proofErr w:type="spellEnd"/>
      <w:r w:rsidRPr="00AC3B62">
        <w:rPr>
          <w:rFonts w:ascii="Times New Roman" w:eastAsia="Times New Roman" w:hAnsi="Times New Roman" w:cs="Times New Roman"/>
          <w:sz w:val="24"/>
          <w:szCs w:val="24"/>
          <w:lang w:eastAsia="el-GR"/>
        </w:rPr>
        <w:t xml:space="preserve"> πρότυπα.</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 xml:space="preserve">4. Για τα επενδυτικά σχέδια που εμπίπτουν στο πεδίο εφαρμογής της παρούσας, μπορούν να ενισχυθούν βάσει καθεστώτων ενίσχυσης του ν. </w:t>
      </w:r>
      <w:hyperlink r:id="rId26"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δαπάνες επενδύσεων για εξοπλισμό και εγκαταστάσεις άρδευσης, μόνο εφόσον η επένδυση αυτή επιφέρει μείωση της προηγούμενης κατανάλωσης ύδατος τουλάχιστον κατά 25%, και η μέτρηση κατανάλωσης ύδατος στο επίπεδο της ενισχυόμενης επένδυσης έχει τεθεί ή πρέπει να τεθεί σε λειτουργία ως μέρος του επενδυτικού σχεδίου.</w:t>
      </w:r>
      <w:r w:rsidRPr="00AC3B62">
        <w:rPr>
          <w:rFonts w:ascii="Times New Roman" w:eastAsia="Times New Roman" w:hAnsi="Times New Roman" w:cs="Times New Roman"/>
          <w:sz w:val="24"/>
          <w:szCs w:val="24"/>
          <w:lang w:eastAsia="el-GR"/>
        </w:rPr>
        <w:br/>
        <w:t xml:space="preserve">Δεν είναι επιλέξιμες και δεν ενισχύονται ι) επενδύσεις βελτίωσης υφιστάμενης αρδευτικής εγκατάστασης ή στοιχείου αρδευτικής υποδομής σε υδάτινο σώμα η κατάσταση του οποίου έχει χαρακτηριστεί στο οικείο σχέδιο Διαχείρισης Λεκανών Απορροής Ποταμών (ΣΔΛΑΠ) ως κατώτερη της καλής ως προς την ποσότητα ή προκειμένου για επιφανειακά ύδατα ως προς το οικολογικό δυναμικό και </w:t>
      </w:r>
      <w:proofErr w:type="spellStart"/>
      <w:r w:rsidRPr="00AC3B62">
        <w:rPr>
          <w:rFonts w:ascii="Times New Roman" w:eastAsia="Times New Roman" w:hAnsi="Times New Roman" w:cs="Times New Roman"/>
          <w:sz w:val="24"/>
          <w:szCs w:val="24"/>
          <w:lang w:eastAsia="el-GR"/>
        </w:rPr>
        <w:t>ιι</w:t>
      </w:r>
      <w:proofErr w:type="spellEnd"/>
      <w:r w:rsidRPr="00AC3B62">
        <w:rPr>
          <w:rFonts w:ascii="Times New Roman" w:eastAsia="Times New Roman" w:hAnsi="Times New Roman" w:cs="Times New Roman"/>
          <w:sz w:val="24"/>
          <w:szCs w:val="24"/>
          <w:lang w:eastAsia="el-GR"/>
        </w:rPr>
        <w:t>) επενδύσεις που έχουν ως αποτέλεσμα την καθαρή αύξηση της αρδευόμενης έκτασης και επηρεάζουν ένα δεδομένο σύστημα υπόγειων ή επιφανειακών υδάτων.</w:t>
      </w:r>
      <w:r w:rsidRPr="00AC3B62">
        <w:rPr>
          <w:rFonts w:ascii="Times New Roman" w:eastAsia="Times New Roman" w:hAnsi="Times New Roman" w:cs="Times New Roman"/>
          <w:sz w:val="24"/>
          <w:szCs w:val="24"/>
          <w:lang w:eastAsia="el-GR"/>
        </w:rPr>
        <w:br/>
        <w:t>Είναι επιλέξιμες και ενισχύονται επενδύσεις που αφορούν στη δημιουργία ταμιευτήρα ή/και επενδύσεις που αφορούν στην αποκλειστική χρήση ανακυκλωμένων εκτός της μονάδας υδάτων οι οποίες δεν επηρεάζουν υπόγεια ή επιφανειακά ύδατα (π.χ. παροχή υδροδότησης αποκλειστικά από ύδατα βιολογικού καθαρισμού). Τα οριζόμενα στην παράγραφο αυτή ελέγχονται κατά τη διαδικασία της παραγράφου 1 του άρθρου 4 από την Διεύθυνση Αγροτικής Οικονομίας και Κτηνιατρικής (Δ.Α.Ο.Κ.), της Περιφερειακής Ενότητας της Περιφέρειας στην κατά τόπον αρμοδιότητα της οποίας εμπίπτει η περιοχή υλοποίησης του επενδυτικού σχεδίου.</w:t>
      </w:r>
      <w:r w:rsidRPr="00AC3B62">
        <w:rPr>
          <w:rFonts w:ascii="Times New Roman" w:eastAsia="Times New Roman" w:hAnsi="Times New Roman" w:cs="Times New Roman"/>
          <w:sz w:val="24"/>
          <w:szCs w:val="24"/>
          <w:lang w:eastAsia="el-GR"/>
        </w:rPr>
        <w:br/>
        <w:t xml:space="preserve">Η υποχρέωση εφαρμογής των προϋποθέσεων που ορίζονται στην παρούσα παράγραφο (στο πλαίσιο των προϋποθέσεων που προβλέπονται στο άρθρο 14 παράγραφος 6 στοιχείο στ του κανονισμού (ΕΕ) αριθ. 702/2014 για την παροχή των ενισχύσεων του ν. </w:t>
      </w:r>
      <w:hyperlink r:id="rId27"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καταλαμβάνει και τα επενδυτικά σχέδια επιχειρήσεων για τα οποία έχει ήδη υποβληθεί αίτηση υπαγωγής σε καθεστώτα ενίσχυσης του ν. </w:t>
      </w:r>
      <w:hyperlink r:id="rId28"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color w:val="2448D6"/>
          <w:sz w:val="24"/>
          <w:szCs w:val="24"/>
          <w:lang w:eastAsia="el-GR"/>
        </w:rPr>
        <w:t xml:space="preserve"> </w:t>
      </w:r>
      <w:r w:rsidRPr="00AC3B62">
        <w:rPr>
          <w:rFonts w:ascii="Times New Roman" w:eastAsia="Times New Roman" w:hAnsi="Times New Roman" w:cs="Times New Roman"/>
          <w:sz w:val="24"/>
          <w:szCs w:val="24"/>
          <w:lang w:eastAsia="el-GR"/>
        </w:rPr>
        <w:t xml:space="preserve">και στα οποία περιλαμβάνονται δαπάνες επενδύσεων για εξοπλισμό και εγκαταστάσεις άρδευσης. </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 xml:space="preserve">5. Σε καθεστώτα ενισχύσεων του νόμου </w:t>
      </w:r>
      <w:hyperlink r:id="rId29"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δύναται να υπαχθούν επενδυτικά σχέδια της πρωτογενούς γεωργικής παραγωγής, όπως αυτή ορίζεται στο σημείο 5 του άρθρου 2 του κανονισμού (ΕΕ) </w:t>
      </w:r>
      <w:proofErr w:type="spellStart"/>
      <w:r w:rsidRPr="00AC3B62">
        <w:rPr>
          <w:rFonts w:ascii="Times New Roman" w:eastAsia="Times New Roman" w:hAnsi="Times New Roman" w:cs="Times New Roman"/>
          <w:sz w:val="24"/>
          <w:szCs w:val="24"/>
          <w:lang w:eastAsia="el-GR"/>
        </w:rPr>
        <w:t>αριθμ</w:t>
      </w:r>
      <w:proofErr w:type="spellEnd"/>
      <w:r w:rsidRPr="00AC3B62">
        <w:rPr>
          <w:rFonts w:ascii="Times New Roman" w:eastAsia="Times New Roman" w:hAnsi="Times New Roman" w:cs="Times New Roman"/>
          <w:sz w:val="24"/>
          <w:szCs w:val="24"/>
          <w:lang w:eastAsia="el-GR"/>
        </w:rPr>
        <w:t>. 702/2014 της επιτροπής, στους ακόλουθους τομείς, τα οποία αφορούν συγκεκριμένα σε:</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 xml:space="preserve">Α. στον τομέα φυτικής παραγωγής: Εκμεταλλεύσεις όλων των τύπων και παραγωγικών συστημάτων φυτικής παραγωγής, όπως συμβατική, πιστοποιημένη ολοκληρωμένη, βιολογική, κ.λπ. υπαίθρια, υπό κάλυψη (θερμοκήπια, θάλαμοι καλλιέργειας μανιταριών </w:t>
      </w:r>
      <w:proofErr w:type="spellStart"/>
      <w:r w:rsidRPr="00AC3B62">
        <w:rPr>
          <w:rFonts w:ascii="Times New Roman" w:eastAsia="Times New Roman" w:hAnsi="Times New Roman" w:cs="Times New Roman"/>
          <w:sz w:val="24"/>
          <w:szCs w:val="24"/>
          <w:lang w:eastAsia="el-GR"/>
        </w:rPr>
        <w:t>θερμοκηπιακού</w:t>
      </w:r>
      <w:proofErr w:type="spellEnd"/>
      <w:r w:rsidRPr="00AC3B62">
        <w:rPr>
          <w:rFonts w:ascii="Times New Roman" w:eastAsia="Times New Roman" w:hAnsi="Times New Roman" w:cs="Times New Roman"/>
          <w:sz w:val="24"/>
          <w:szCs w:val="24"/>
          <w:lang w:eastAsia="el-GR"/>
        </w:rPr>
        <w:t xml:space="preserve"> τύπου, </w:t>
      </w:r>
      <w:proofErr w:type="spellStart"/>
      <w:r w:rsidRPr="00AC3B62">
        <w:rPr>
          <w:rFonts w:ascii="Times New Roman" w:eastAsia="Times New Roman" w:hAnsi="Times New Roman" w:cs="Times New Roman"/>
          <w:sz w:val="24"/>
          <w:szCs w:val="24"/>
          <w:lang w:eastAsia="el-GR"/>
        </w:rPr>
        <w:t>δικτυοκήπια</w:t>
      </w:r>
      <w:proofErr w:type="spellEnd"/>
      <w:r w:rsidRPr="00AC3B62">
        <w:rPr>
          <w:rFonts w:ascii="Times New Roman" w:eastAsia="Times New Roman" w:hAnsi="Times New Roman" w:cs="Times New Roman"/>
          <w:sz w:val="24"/>
          <w:szCs w:val="24"/>
          <w:lang w:eastAsia="el-GR"/>
        </w:rPr>
        <w:t xml:space="preserve"> κ.α.),</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Β. στον τομέα ζωικής παραγωγής: Κτηνοτροφικές εγκαταστάσεις για ίδρυση νέων, εκσυγχρονισμό υφιστάμενων εγκαταστάσεων όπως αυτές περιγράφονται στο ν. 4056/2012 (ΦΕΚ 52Α΄/2012). Συγκεκριμένα υπάγονται επενδυτικά σχέδια όλων των παραγωγικών κατευθύνσεων καθώς και όλων των τύπων εκτροφής, και υπό τους περιορισμούς και όρους που τίθενται ακολούθως, που αφορούν σε:</w:t>
      </w:r>
      <w:r w:rsidRPr="00AC3B62">
        <w:rPr>
          <w:rFonts w:ascii="Times New Roman" w:eastAsia="Times New Roman" w:hAnsi="Times New Roman" w:cs="Times New Roman"/>
          <w:sz w:val="24"/>
          <w:szCs w:val="24"/>
          <w:lang w:eastAsia="el-GR"/>
        </w:rPr>
        <w:br/>
        <w:t xml:space="preserve">αα) </w:t>
      </w:r>
      <w:proofErr w:type="spellStart"/>
      <w:r w:rsidRPr="00AC3B62">
        <w:rPr>
          <w:rFonts w:ascii="Times New Roman" w:eastAsia="Times New Roman" w:hAnsi="Times New Roman" w:cs="Times New Roman"/>
          <w:sz w:val="24"/>
          <w:szCs w:val="24"/>
          <w:lang w:eastAsia="el-GR"/>
        </w:rPr>
        <w:t>Βοοτροφικές</w:t>
      </w:r>
      <w:proofErr w:type="spellEnd"/>
      <w:r w:rsidRPr="00AC3B62">
        <w:rPr>
          <w:rFonts w:ascii="Times New Roman" w:eastAsia="Times New Roman" w:hAnsi="Times New Roman" w:cs="Times New Roman"/>
          <w:sz w:val="24"/>
          <w:szCs w:val="24"/>
          <w:lang w:eastAsia="el-GR"/>
        </w:rPr>
        <w:t xml:space="preserve"> μονάδες.</w:t>
      </w:r>
      <w:r w:rsidRPr="00AC3B62">
        <w:rPr>
          <w:rFonts w:ascii="Times New Roman" w:eastAsia="Times New Roman" w:hAnsi="Times New Roman" w:cs="Times New Roman"/>
          <w:sz w:val="24"/>
          <w:szCs w:val="24"/>
          <w:lang w:eastAsia="el-GR"/>
        </w:rPr>
        <w:br/>
      </w:r>
      <w:proofErr w:type="spellStart"/>
      <w:r w:rsidRPr="00AC3B62">
        <w:rPr>
          <w:rFonts w:ascii="Times New Roman" w:eastAsia="Times New Roman" w:hAnsi="Times New Roman" w:cs="Times New Roman"/>
          <w:sz w:val="24"/>
          <w:szCs w:val="24"/>
          <w:lang w:eastAsia="el-GR"/>
        </w:rPr>
        <w:t>ββ</w:t>
      </w:r>
      <w:proofErr w:type="spellEnd"/>
      <w:r w:rsidRPr="00AC3B62">
        <w:rPr>
          <w:rFonts w:ascii="Times New Roman" w:eastAsia="Times New Roman" w:hAnsi="Times New Roman" w:cs="Times New Roman"/>
          <w:sz w:val="24"/>
          <w:szCs w:val="24"/>
          <w:lang w:eastAsia="el-GR"/>
        </w:rPr>
        <w:t xml:space="preserve">) </w:t>
      </w:r>
      <w:proofErr w:type="spellStart"/>
      <w:r w:rsidRPr="00AC3B62">
        <w:rPr>
          <w:rFonts w:ascii="Times New Roman" w:eastAsia="Times New Roman" w:hAnsi="Times New Roman" w:cs="Times New Roman"/>
          <w:sz w:val="24"/>
          <w:szCs w:val="24"/>
          <w:lang w:eastAsia="el-GR"/>
        </w:rPr>
        <w:t>Αιγοπροβατοτροφικές</w:t>
      </w:r>
      <w:proofErr w:type="spellEnd"/>
      <w:r w:rsidRPr="00AC3B62">
        <w:rPr>
          <w:rFonts w:ascii="Times New Roman" w:eastAsia="Times New Roman" w:hAnsi="Times New Roman" w:cs="Times New Roman"/>
          <w:sz w:val="24"/>
          <w:szCs w:val="24"/>
          <w:lang w:eastAsia="el-GR"/>
        </w:rPr>
        <w:t xml:space="preserve"> μονάδες. </w:t>
      </w:r>
      <w:r w:rsidRPr="00AC3B62">
        <w:rPr>
          <w:rFonts w:ascii="Times New Roman" w:eastAsia="Times New Roman" w:hAnsi="Times New Roman" w:cs="Times New Roman"/>
          <w:sz w:val="24"/>
          <w:szCs w:val="24"/>
          <w:lang w:eastAsia="el-GR"/>
        </w:rPr>
        <w:br/>
      </w:r>
      <w:proofErr w:type="spellStart"/>
      <w:r w:rsidRPr="00AC3B62">
        <w:rPr>
          <w:rFonts w:ascii="Times New Roman" w:eastAsia="Times New Roman" w:hAnsi="Times New Roman" w:cs="Times New Roman"/>
          <w:sz w:val="24"/>
          <w:szCs w:val="24"/>
          <w:lang w:eastAsia="el-GR"/>
        </w:rPr>
        <w:lastRenderedPageBreak/>
        <w:t>γγ</w:t>
      </w:r>
      <w:proofErr w:type="spellEnd"/>
      <w:r w:rsidRPr="00AC3B62">
        <w:rPr>
          <w:rFonts w:ascii="Times New Roman" w:eastAsia="Times New Roman" w:hAnsi="Times New Roman" w:cs="Times New Roman"/>
          <w:sz w:val="24"/>
          <w:szCs w:val="24"/>
          <w:lang w:eastAsia="el-GR"/>
        </w:rPr>
        <w:t xml:space="preserve">) </w:t>
      </w:r>
      <w:proofErr w:type="spellStart"/>
      <w:r w:rsidRPr="00AC3B62">
        <w:rPr>
          <w:rFonts w:ascii="Times New Roman" w:eastAsia="Times New Roman" w:hAnsi="Times New Roman" w:cs="Times New Roman"/>
          <w:sz w:val="24"/>
          <w:szCs w:val="24"/>
          <w:lang w:eastAsia="el-GR"/>
        </w:rPr>
        <w:t>Χοιροτροφικές</w:t>
      </w:r>
      <w:proofErr w:type="spellEnd"/>
      <w:r w:rsidRPr="00AC3B62">
        <w:rPr>
          <w:rFonts w:ascii="Times New Roman" w:eastAsia="Times New Roman" w:hAnsi="Times New Roman" w:cs="Times New Roman"/>
          <w:sz w:val="24"/>
          <w:szCs w:val="24"/>
          <w:lang w:eastAsia="el-GR"/>
        </w:rPr>
        <w:t xml:space="preserve"> μονάδες.</w:t>
      </w:r>
      <w:r w:rsidRPr="00AC3B62">
        <w:rPr>
          <w:rFonts w:ascii="Times New Roman" w:eastAsia="Times New Roman" w:hAnsi="Times New Roman" w:cs="Times New Roman"/>
          <w:sz w:val="24"/>
          <w:szCs w:val="24"/>
          <w:lang w:eastAsia="el-GR"/>
        </w:rPr>
        <w:br/>
      </w:r>
      <w:proofErr w:type="spellStart"/>
      <w:r w:rsidRPr="00AC3B62">
        <w:rPr>
          <w:rFonts w:ascii="Times New Roman" w:eastAsia="Times New Roman" w:hAnsi="Times New Roman" w:cs="Times New Roman"/>
          <w:sz w:val="24"/>
          <w:szCs w:val="24"/>
          <w:lang w:eastAsia="el-GR"/>
        </w:rPr>
        <w:t>δδ</w:t>
      </w:r>
      <w:proofErr w:type="spellEnd"/>
      <w:r w:rsidRPr="00AC3B62">
        <w:rPr>
          <w:rFonts w:ascii="Times New Roman" w:eastAsia="Times New Roman" w:hAnsi="Times New Roman" w:cs="Times New Roman"/>
          <w:sz w:val="24"/>
          <w:szCs w:val="24"/>
          <w:lang w:eastAsia="el-GR"/>
        </w:rPr>
        <w:t xml:space="preserve">) Μονάδες </w:t>
      </w:r>
      <w:proofErr w:type="spellStart"/>
      <w:r w:rsidRPr="00AC3B62">
        <w:rPr>
          <w:rFonts w:ascii="Times New Roman" w:eastAsia="Times New Roman" w:hAnsi="Times New Roman" w:cs="Times New Roman"/>
          <w:sz w:val="24"/>
          <w:szCs w:val="24"/>
          <w:lang w:eastAsia="el-GR"/>
        </w:rPr>
        <w:t>μονόπλων</w:t>
      </w:r>
      <w:proofErr w:type="spellEnd"/>
      <w:r w:rsidRPr="00AC3B62">
        <w:rPr>
          <w:rFonts w:ascii="Times New Roman" w:eastAsia="Times New Roman" w:hAnsi="Times New Roman" w:cs="Times New Roman"/>
          <w:sz w:val="24"/>
          <w:szCs w:val="24"/>
          <w:lang w:eastAsia="el-GR"/>
        </w:rPr>
        <w:t>.</w:t>
      </w:r>
      <w:r w:rsidRPr="00AC3B62">
        <w:rPr>
          <w:rFonts w:ascii="Times New Roman" w:eastAsia="Times New Roman" w:hAnsi="Times New Roman" w:cs="Times New Roman"/>
          <w:sz w:val="24"/>
          <w:szCs w:val="24"/>
          <w:lang w:eastAsia="el-GR"/>
        </w:rPr>
        <w:br/>
      </w:r>
      <w:proofErr w:type="spellStart"/>
      <w:r w:rsidRPr="00AC3B62">
        <w:rPr>
          <w:rFonts w:ascii="Times New Roman" w:eastAsia="Times New Roman" w:hAnsi="Times New Roman" w:cs="Times New Roman"/>
          <w:sz w:val="24"/>
          <w:szCs w:val="24"/>
          <w:lang w:eastAsia="el-GR"/>
        </w:rPr>
        <w:t>εε</w:t>
      </w:r>
      <w:proofErr w:type="spellEnd"/>
      <w:r w:rsidRPr="00AC3B62">
        <w:rPr>
          <w:rFonts w:ascii="Times New Roman" w:eastAsia="Times New Roman" w:hAnsi="Times New Roman" w:cs="Times New Roman"/>
          <w:sz w:val="24"/>
          <w:szCs w:val="24"/>
          <w:lang w:eastAsia="el-GR"/>
        </w:rPr>
        <w:t xml:space="preserve">) Μονάδες εκτροφής </w:t>
      </w:r>
      <w:proofErr w:type="spellStart"/>
      <w:r w:rsidRPr="00AC3B62">
        <w:rPr>
          <w:rFonts w:ascii="Times New Roman" w:eastAsia="Times New Roman" w:hAnsi="Times New Roman" w:cs="Times New Roman"/>
          <w:sz w:val="24"/>
          <w:szCs w:val="24"/>
          <w:lang w:eastAsia="el-GR"/>
        </w:rPr>
        <w:t>γουνοφόρων</w:t>
      </w:r>
      <w:proofErr w:type="spellEnd"/>
      <w:r w:rsidRPr="00AC3B62">
        <w:rPr>
          <w:rFonts w:ascii="Times New Roman" w:eastAsia="Times New Roman" w:hAnsi="Times New Roman" w:cs="Times New Roman"/>
          <w:sz w:val="24"/>
          <w:szCs w:val="24"/>
          <w:lang w:eastAsia="el-GR"/>
        </w:rPr>
        <w:t xml:space="preserve"> ζώων.</w:t>
      </w:r>
      <w:r w:rsidRPr="00AC3B62">
        <w:rPr>
          <w:rFonts w:ascii="Times New Roman" w:eastAsia="Times New Roman" w:hAnsi="Times New Roman" w:cs="Times New Roman"/>
          <w:sz w:val="24"/>
          <w:szCs w:val="24"/>
          <w:lang w:eastAsia="el-GR"/>
        </w:rPr>
        <w:br/>
        <w:t xml:space="preserve">στ) Μονάδες εκτροφής θηραμάτων και </w:t>
      </w:r>
      <w:proofErr w:type="spellStart"/>
      <w:r w:rsidRPr="00AC3B62">
        <w:rPr>
          <w:rFonts w:ascii="Times New Roman" w:eastAsia="Times New Roman" w:hAnsi="Times New Roman" w:cs="Times New Roman"/>
          <w:sz w:val="24"/>
          <w:szCs w:val="24"/>
          <w:lang w:eastAsia="el-GR"/>
        </w:rPr>
        <w:t>θηραματικών</w:t>
      </w:r>
      <w:proofErr w:type="spellEnd"/>
      <w:r w:rsidRPr="00AC3B62">
        <w:rPr>
          <w:rFonts w:ascii="Times New Roman" w:eastAsia="Times New Roman" w:hAnsi="Times New Roman" w:cs="Times New Roman"/>
          <w:sz w:val="24"/>
          <w:szCs w:val="24"/>
          <w:lang w:eastAsia="el-GR"/>
        </w:rPr>
        <w:t xml:space="preserve"> ειδών (με την επιφύλαξη των ισχυουσών δασικών διατάξεων για τα εν λόγω είδη σε εκτροφές).</w:t>
      </w:r>
      <w:r w:rsidRPr="00AC3B62">
        <w:rPr>
          <w:rFonts w:ascii="Times New Roman" w:eastAsia="Times New Roman" w:hAnsi="Times New Roman" w:cs="Times New Roman"/>
          <w:sz w:val="24"/>
          <w:szCs w:val="24"/>
          <w:lang w:eastAsia="el-GR"/>
        </w:rPr>
        <w:br/>
      </w:r>
      <w:proofErr w:type="spellStart"/>
      <w:r w:rsidRPr="00AC3B62">
        <w:rPr>
          <w:rFonts w:ascii="Times New Roman" w:eastAsia="Times New Roman" w:hAnsi="Times New Roman" w:cs="Times New Roman"/>
          <w:sz w:val="24"/>
          <w:szCs w:val="24"/>
          <w:lang w:eastAsia="el-GR"/>
        </w:rPr>
        <w:t>ζζ</w:t>
      </w:r>
      <w:proofErr w:type="spellEnd"/>
      <w:r w:rsidRPr="00AC3B62">
        <w:rPr>
          <w:rFonts w:ascii="Times New Roman" w:eastAsia="Times New Roman" w:hAnsi="Times New Roman" w:cs="Times New Roman"/>
          <w:sz w:val="24"/>
          <w:szCs w:val="24"/>
          <w:lang w:eastAsia="el-GR"/>
        </w:rPr>
        <w:t xml:space="preserve">) Μονάδες εκτροφής σαλιγκαριών. </w:t>
      </w:r>
      <w:r w:rsidRPr="00AC3B62">
        <w:rPr>
          <w:rFonts w:ascii="Times New Roman" w:eastAsia="Times New Roman" w:hAnsi="Times New Roman" w:cs="Times New Roman"/>
          <w:sz w:val="24"/>
          <w:szCs w:val="24"/>
          <w:lang w:eastAsia="el-GR"/>
        </w:rPr>
        <w:br/>
      </w:r>
      <w:proofErr w:type="spellStart"/>
      <w:r w:rsidRPr="00AC3B62">
        <w:rPr>
          <w:rFonts w:ascii="Times New Roman" w:eastAsia="Times New Roman" w:hAnsi="Times New Roman" w:cs="Times New Roman"/>
          <w:sz w:val="24"/>
          <w:szCs w:val="24"/>
          <w:lang w:eastAsia="el-GR"/>
        </w:rPr>
        <w:t>ηη</w:t>
      </w:r>
      <w:proofErr w:type="spellEnd"/>
      <w:r w:rsidRPr="00AC3B62">
        <w:rPr>
          <w:rFonts w:ascii="Times New Roman" w:eastAsia="Times New Roman" w:hAnsi="Times New Roman" w:cs="Times New Roman"/>
          <w:sz w:val="24"/>
          <w:szCs w:val="24"/>
          <w:lang w:eastAsia="el-GR"/>
        </w:rPr>
        <w:t>) Σηροτροφικές μονάδες.</w:t>
      </w:r>
      <w:r w:rsidRPr="00AC3B62">
        <w:rPr>
          <w:rFonts w:ascii="Times New Roman" w:eastAsia="Times New Roman" w:hAnsi="Times New Roman" w:cs="Times New Roman"/>
          <w:sz w:val="24"/>
          <w:szCs w:val="24"/>
          <w:lang w:eastAsia="el-GR"/>
        </w:rPr>
        <w:br/>
      </w:r>
      <w:proofErr w:type="spellStart"/>
      <w:r w:rsidRPr="00AC3B62">
        <w:rPr>
          <w:rFonts w:ascii="Times New Roman" w:eastAsia="Times New Roman" w:hAnsi="Times New Roman" w:cs="Times New Roman"/>
          <w:sz w:val="24"/>
          <w:szCs w:val="24"/>
          <w:lang w:eastAsia="el-GR"/>
        </w:rPr>
        <w:t>θθ</w:t>
      </w:r>
      <w:proofErr w:type="spellEnd"/>
      <w:r w:rsidRPr="00AC3B62">
        <w:rPr>
          <w:rFonts w:ascii="Times New Roman" w:eastAsia="Times New Roman" w:hAnsi="Times New Roman" w:cs="Times New Roman"/>
          <w:sz w:val="24"/>
          <w:szCs w:val="24"/>
          <w:lang w:eastAsia="el-GR"/>
        </w:rPr>
        <w:t>) Μονάδες μελισσοκομίας, παραγωγής μελιού, κεριού μελισσών και λοιπών προϊόντων κυψέλης.</w:t>
      </w:r>
      <w:r w:rsidRPr="00AC3B62">
        <w:rPr>
          <w:rFonts w:ascii="Times New Roman" w:eastAsia="Times New Roman" w:hAnsi="Times New Roman" w:cs="Times New Roman"/>
          <w:sz w:val="24"/>
          <w:szCs w:val="24"/>
          <w:lang w:eastAsia="el-GR"/>
        </w:rPr>
        <w:br/>
      </w:r>
      <w:proofErr w:type="spellStart"/>
      <w:r w:rsidRPr="00AC3B62">
        <w:rPr>
          <w:rFonts w:ascii="Times New Roman" w:eastAsia="Times New Roman" w:hAnsi="Times New Roman" w:cs="Times New Roman"/>
          <w:sz w:val="24"/>
          <w:szCs w:val="24"/>
          <w:lang w:eastAsia="el-GR"/>
        </w:rPr>
        <w:t>ιι</w:t>
      </w:r>
      <w:proofErr w:type="spellEnd"/>
      <w:r w:rsidRPr="00AC3B62">
        <w:rPr>
          <w:rFonts w:ascii="Times New Roman" w:eastAsia="Times New Roman" w:hAnsi="Times New Roman" w:cs="Times New Roman"/>
          <w:sz w:val="24"/>
          <w:szCs w:val="24"/>
          <w:lang w:eastAsia="el-GR"/>
        </w:rPr>
        <w:t>) Μονάδες εκτροφής κονίκλων, μέχρι το όριο δυναμικότητας των 2.000 θηλυκών αναπαραγωγής.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color w:val="0066FF"/>
          <w:sz w:val="24"/>
          <w:szCs w:val="24"/>
          <w:lang w:eastAsia="el-GR"/>
        </w:rPr>
        <w:t>κκ) Πτηνοτροφικές μονάδες για τους ακόλουθους τύπους εκτροφών και υπό τους ακόλουθους περιορισμούς και όρους:</w:t>
      </w:r>
      <w:r w:rsidRPr="00AC3B62">
        <w:rPr>
          <w:rFonts w:ascii="Times New Roman" w:eastAsia="Times New Roman" w:hAnsi="Times New Roman" w:cs="Times New Roman"/>
          <w:color w:val="0066FF"/>
          <w:sz w:val="24"/>
          <w:szCs w:val="24"/>
          <w:lang w:eastAsia="el-GR"/>
        </w:rPr>
        <w:br/>
        <w:t>αα) εναλλακτικοί τύποι εκτροφών, πλην στρουθοκαμήλων, για την παραγωγή κρέατος πουλερικών βιολογικής εκτροφής, ελευθέρας βοσκής, παραδοσιακά ελευθέρας βοσκής, απεριόριστης ελευθέρας βοσκής (ίδρυση νέων μονάδων, επέκταση ή εκσυγχρονισμός με ή χωρίς μετεγκατάσταση),</w:t>
      </w:r>
      <w:r w:rsidRPr="00AC3B62">
        <w:rPr>
          <w:rFonts w:ascii="Times New Roman" w:eastAsia="Times New Roman" w:hAnsi="Times New Roman" w:cs="Times New Roman"/>
          <w:color w:val="0066FF"/>
          <w:sz w:val="24"/>
          <w:szCs w:val="24"/>
          <w:lang w:eastAsia="el-GR"/>
        </w:rPr>
        <w:br/>
      </w:r>
      <w:proofErr w:type="spellStart"/>
      <w:r w:rsidRPr="00AC3B62">
        <w:rPr>
          <w:rFonts w:ascii="Times New Roman" w:eastAsia="Times New Roman" w:hAnsi="Times New Roman" w:cs="Times New Roman"/>
          <w:color w:val="0066FF"/>
          <w:sz w:val="24"/>
          <w:szCs w:val="24"/>
          <w:lang w:eastAsia="el-GR"/>
        </w:rPr>
        <w:t>ββ</w:t>
      </w:r>
      <w:proofErr w:type="spellEnd"/>
      <w:r w:rsidRPr="00AC3B62">
        <w:rPr>
          <w:rFonts w:ascii="Times New Roman" w:eastAsia="Times New Roman" w:hAnsi="Times New Roman" w:cs="Times New Roman"/>
          <w:color w:val="0066FF"/>
          <w:sz w:val="24"/>
          <w:szCs w:val="24"/>
          <w:lang w:eastAsia="el-GR"/>
        </w:rPr>
        <w:t>) εναλλακτικοί τύποι εκτροφών, πλην στρουθοκαμήλων, για την παραγωγή αυγών πουλερικών βιολογικής εκτροφής, ελευθέρας βοσκής, αχυρώνα (ίδρυση νέων μονάδων, επέκταση ή εκσυγχρονισμός με ή χωρίς μετεγκατάσταση),</w:t>
      </w:r>
      <w:r w:rsidRPr="00AC3B62">
        <w:rPr>
          <w:rFonts w:ascii="Times New Roman" w:eastAsia="Times New Roman" w:hAnsi="Times New Roman" w:cs="Times New Roman"/>
          <w:color w:val="0066FF"/>
          <w:sz w:val="24"/>
          <w:szCs w:val="24"/>
          <w:lang w:eastAsia="el-GR"/>
        </w:rPr>
        <w:br/>
      </w:r>
      <w:proofErr w:type="spellStart"/>
      <w:r w:rsidRPr="00AC3B62">
        <w:rPr>
          <w:rFonts w:ascii="Times New Roman" w:eastAsia="Times New Roman" w:hAnsi="Times New Roman" w:cs="Times New Roman"/>
          <w:color w:val="0066FF"/>
          <w:sz w:val="24"/>
          <w:szCs w:val="24"/>
          <w:lang w:eastAsia="el-GR"/>
        </w:rPr>
        <w:t>γγ</w:t>
      </w:r>
      <w:proofErr w:type="spellEnd"/>
      <w:r w:rsidRPr="00AC3B62">
        <w:rPr>
          <w:rFonts w:ascii="Times New Roman" w:eastAsia="Times New Roman" w:hAnsi="Times New Roman" w:cs="Times New Roman"/>
          <w:color w:val="0066FF"/>
          <w:sz w:val="24"/>
          <w:szCs w:val="24"/>
          <w:lang w:eastAsia="el-GR"/>
        </w:rPr>
        <w:t>) συμβατικές εκτροφές πουλερικών, πλην στρουθοκαμήλων, για παραγωγή αυγών ή κρέατος, για ίδρυση νέων μονάδων, επέκταση ή εκσυγχρονισμό υφιστάμενων μονάδων. Για τις συμβατικές εκτροφές, ο φορέας της επένδυσης, εφόσον πρόκειται για συνεργαζόμενη επιχείρηση, θα πρέπει να διαθέτει ιδιωτικό συμφωνητικό συνεργασίας με ισχύ τουλάχιστον 5 ετών από την ολοκλήρωση της επένδυσης με φορέα μεταποίησης ή/ και εμπορίας στο πλαίσιο της καθετοποίησης της παραγωγικής διαδικασίας,</w:t>
      </w:r>
      <w:r w:rsidRPr="00AC3B62">
        <w:rPr>
          <w:rFonts w:ascii="Times New Roman" w:eastAsia="Times New Roman" w:hAnsi="Times New Roman" w:cs="Times New Roman"/>
          <w:color w:val="0066FF"/>
          <w:sz w:val="24"/>
          <w:szCs w:val="24"/>
          <w:lang w:eastAsia="el-GR"/>
        </w:rPr>
        <w:br/>
      </w:r>
      <w:proofErr w:type="spellStart"/>
      <w:r w:rsidRPr="00AC3B62">
        <w:rPr>
          <w:rFonts w:ascii="Times New Roman" w:eastAsia="Times New Roman" w:hAnsi="Times New Roman" w:cs="Times New Roman"/>
          <w:color w:val="0066FF"/>
          <w:sz w:val="24"/>
          <w:szCs w:val="24"/>
          <w:lang w:eastAsia="el-GR"/>
        </w:rPr>
        <w:t>δδ</w:t>
      </w:r>
      <w:proofErr w:type="spellEnd"/>
      <w:r w:rsidRPr="00AC3B62">
        <w:rPr>
          <w:rFonts w:ascii="Times New Roman" w:eastAsia="Times New Roman" w:hAnsi="Times New Roman" w:cs="Times New Roman"/>
          <w:color w:val="0066FF"/>
          <w:sz w:val="24"/>
          <w:szCs w:val="24"/>
          <w:lang w:eastAsia="el-GR"/>
        </w:rPr>
        <w:t>) πτηνοτροφεία αναπαραγωγής ή και εκκολαπτήρια αυγών, για ίδρυση νέας μονάδας, επέκταση ή εκσυγχρονισμό υφιστάμενων μονάδων. Η ίδρυση νέων μονάδων υπάγεται μόνο στο πλαίσιο καθετοποίησης υφιστάμενων πτηνοτροφικών μονάδων.</w:t>
      </w:r>
      <w:r w:rsidRPr="00AC3B62">
        <w:rPr>
          <w:rFonts w:ascii="Times New Roman" w:eastAsia="Times New Roman" w:hAnsi="Times New Roman" w:cs="Times New Roman"/>
          <w:color w:val="0066FF"/>
          <w:sz w:val="24"/>
          <w:szCs w:val="24"/>
          <w:lang w:eastAsia="el-GR"/>
        </w:rPr>
        <w:br/>
        <w:t>Για συνεταιρισμούς, για επιχειρήσεις νεοσσών και για επιχειρήσεις με συνεργαζόμενους πτηνοτρόφους (για επιχειρήσεις που παρέχουν νεοσσούς προς πάχυνση σε πτηνοτροφικές μονάδες και, μετά την ολοκλήρωση της πάχυνσης, παραλαμβάνουν τα έτοιμα για σφαγή κοτόπουλα και τα διανέμουν μέσω του δικτύου τους προς πώληση), η συνολική δυναμικότητα μετά την υλοποίηση του επενδυτικού σχεδίου δεν θα πρέπει να υπερβαίνει τη μέση παραγωγή ή/και διακίνηση της τελευταίας πενταετίας, αυξημένη κατά 20%. Αν ο φορέας της επένδυσης είναι συνεργαζόμενη επιχείρηση, θα πρέπει να διαθέτει ιδιωτικό συμφωνητικό συνεργασίας με ισχύ τουλάχιστον 5 ετών από την ολοκλήρωση της επένδυσης.</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b/>
          <w:bCs/>
          <w:sz w:val="24"/>
          <w:szCs w:val="24"/>
          <w:lang w:eastAsia="el-GR"/>
        </w:rPr>
        <w:t>Άρθρο 4</w:t>
      </w:r>
      <w:r w:rsidRPr="00AC3B62">
        <w:rPr>
          <w:rFonts w:ascii="Times New Roman" w:eastAsia="Times New Roman" w:hAnsi="Times New Roman" w:cs="Times New Roman"/>
          <w:b/>
          <w:bCs/>
          <w:sz w:val="24"/>
          <w:szCs w:val="24"/>
          <w:lang w:eastAsia="el-GR"/>
        </w:rPr>
        <w:br/>
        <w:t>ΠΡΟΣΘΕΤΕΣ ΠΡΟΔΙΑΓΡΑΦΕΣ - ΠΡΟΫΠΟΘΕΣΕΙΣ</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 xml:space="preserve">1. Οι φορείς υποδοχής του </w:t>
      </w:r>
      <w:hyperlink r:id="rId30" w:history="1">
        <w:r w:rsidRPr="00AC3B62">
          <w:rPr>
            <w:rFonts w:ascii="Times New Roman" w:eastAsia="Times New Roman" w:hAnsi="Times New Roman" w:cs="Times New Roman"/>
            <w:color w:val="0000FF"/>
            <w:sz w:val="24"/>
            <w:szCs w:val="24"/>
            <w:u w:val="single"/>
            <w:lang w:eastAsia="el-GR"/>
          </w:rPr>
          <w:t>άρθρου 13</w:t>
        </w:r>
      </w:hyperlink>
      <w:r w:rsidRPr="00AC3B62">
        <w:rPr>
          <w:rFonts w:ascii="Times New Roman" w:eastAsia="Times New Roman" w:hAnsi="Times New Roman" w:cs="Times New Roman"/>
          <w:sz w:val="24"/>
          <w:szCs w:val="24"/>
          <w:lang w:eastAsia="el-GR"/>
        </w:rPr>
        <w:t xml:space="preserve"> του ν. </w:t>
      </w:r>
      <w:hyperlink r:id="rId31"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των αιτήσεων των επενδυτικών σχεδίων που εμπίπτουν στο πεδίο εφαρμογής της παρούσας, αποστέλλουν ηλεκτρονικά εντός δύο (2) ημερών από την ημερομηνία υποβολής της αίτησης υπαγωγής και του οικείου φακέλου τεκμηρίωσης, αντίγραφο της αίτησης και του φακέλου τεκμηρίωσης του επενδυτικού σχεδίου, στις Διευθύνσεις Αγροτικής Οικονομίας και Κτηνιατρικής (Δ.Α.Ο.Κ.), των Περιφερειακών Ενοτήτων των </w:t>
      </w:r>
      <w:r w:rsidRPr="00AC3B62">
        <w:rPr>
          <w:rFonts w:ascii="Times New Roman" w:eastAsia="Times New Roman" w:hAnsi="Times New Roman" w:cs="Times New Roman"/>
          <w:sz w:val="24"/>
          <w:szCs w:val="24"/>
          <w:lang w:eastAsia="el-GR"/>
        </w:rPr>
        <w:lastRenderedPageBreak/>
        <w:t xml:space="preserve">Περιφερειών, στην κατά τόπον αρμοδιότητα της οποίας εμπίπτει η περιοχή υλοποίησης του επενδυτικού σχεδίου, για τη συμπλήρωση εντύπου, προς έκφραση γνώμης ως προς τον ορθολογικό σχεδιασμό του επενδυτικού σχεδίου (όπως τη σκοπιμότητά του από άποψη γεωγραφικής κατανομής ομοειδών επενδύσεων, ύπαρξης ή όχι πρώτης ύλης στην ευρύτερη περιοχή, κάλυψης δυναμικότητας και ύπαρξης σύγχρονης υποδομής στην περιοχή, συμβατότητας με την ισχύουσα ΚΑΠ και την αντίστοιχη ΚΟΑ των προϊόντων του επενδυτικού σχεδίου καθώς και, κατά τα οριζόμενα στην παράγραφο 4 του άρθρου 3 όπως αυτή αναριθμείται με το παρόν άρθρο, και του άρθρο 14 παράγραφος 6 στοιχείο στ του κανονισμού (ΕΕ) αριθ. 702/2014, αν οι δαπάνες επενδύσεων για εξοπλισμό και εγκαταστάσεις άρδευσης που τυχόν περιλαμβάνονται στο επενδυτικό σχέδιο, αφορούν σε βελτίωση υφιστάμενης αρδευτικής εγκατάστασης ή στοιχείου αρδευτικής υποδομής σε υδάτινο σώμα η κατάσταση του οποίου έχει χαρακτηριστεί στο οικείο σχέδιο Διαχείρισης Λεκανών Απορροής Ποταμών (ΣΔΛΑΠ) ως κατώτερη της καλής ως προς την ποσότητα ή προκειμένου για επιφανειακά ύδατα ως προς το οικολογικό δυναμικό, ή/και έχουν ως αποτέλεσμα την καθαρή αύξηση της αρδευόμενης έκτασης και επηρεάζουν ένα δεδομένο σύστημα υπόγειων ή επιφανειακών υδάτων, και δεν αφορούν στη δημιουργία ταμιευτήρα ή/ και επενδύσεις που αφορούν στην αποκλειστική χρήση ανακυκλωμένων εκτός της μονάδας υδάτων οι οποίες δεν επηρεάζουν υπόγεια ή επιφανειακά ύδατα, κ.λπ.). Η αρμόδια ΔΑΟΚ πρέπει να συμπληρώσει και να αποστείλει ηλεκτρονικά στους φορείς υποδοχής των αιτήσεων το εν λόγω έντυπο, εντός επτά (7) ημερών από την ημερομηνία παραλαβής του σχετικού αιτήματος, προκειμένου να τεθεί στον φάκελο του επενδυτικού σχεδίου και να ληφθεί υπόψη για την αξιολόγηση της αίτησης υπαγωγής του επενδυτικού σχεδίου. Μετά την άπρακτη παρέλευση του ως άνω διαστήματος, η αξιολόγηση της αίτησης υπαγωγής ολοκληρώνεται χωρίς να αναμένεται η σχετική έκφραση γνώμης της οικείας Δ.Α.Ο.Κ. Η γνωμάτευση της οικείας Δ.Α.Ο.Κ. πρέπει να έχει σε κάθε περίπτωση υποβληθεί πριν την έκδοση της απόφασης Υπαγωγής. </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sz w:val="24"/>
          <w:szCs w:val="24"/>
          <w:lang w:eastAsia="el-GR"/>
        </w:rPr>
        <w:t xml:space="preserve">2. Πέραν των δικαιολογητικών και στοιχείων που συνοδεύουν την αίτηση υπαγωγής και καθορίζονται στην απόφαση προκήρυξης του κάθε συγκεκριμένου καθεστώτος ενίσχυσης του ν. </w:t>
      </w:r>
      <w:hyperlink r:id="rId32"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οι φορείς των επενδυτικών σχεδίων που εμπίπτουν στο πεδίο εφαρμογής της παρούσας απόφασης, μετά την υποβολή της αίτησης υπαγωγής πρέπει να εξασφαλίσουν όλες τις εγκρίσεις, άδειες και λοιπά πιστοποιητικά και έγγραφα που απαιτούνται από την κείμενη νομοθεσία για την υλοποίηση και νόμιμη λειτουργία του επενδυτικού σχεδίου, και πιο συγκεκριμένα, ιδίως: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α. θερμοκήπια:</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Ι. Άδεια πολεοδομίας και υγειονομικής υπηρεσίας της οικείας περιφερειακής ενότητας για επενδύσεις θερμοκηπίων όταν εγκαθίστανται εντός ορίων οικιστικών περιοχών.</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ΙΙ. Έγκριση τύπου θερμοκηπίου από αρμόδια αρχή, όπως κάθε φορά ισχύει.</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β. Μονάδες πολλαπλασιαστικού υλικού:</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Άδεια από την αρμόδια υπηρεσία του Υπουργείου Αγροτικής Ανάπτυξης και Τροφίμων.</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lastRenderedPageBreak/>
        <w:t>γ. Μονάδες βιολογικής γεωργίας: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Ι. Για την ίδρυση: Σύμβαση με οργανισμό ελέγχου και Πιστοποίησης βιολογικών προϊόντων.</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ΙΙ. Για τον εκσυγχρονισμό: Πιστοποιητικό οργανισμού ελέγχου και πιστοποίησης βιολογικών προϊόντων για την τήρηση των προδιαγραφών του καν. της ΕΕ 2092/1991, όπως αντικαταστάθηκε από τον ΕΕ 834/07, σχετικά με το βιολογικό τρόπο παραγωγής γεωργικών προϊόντων.</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δ. Κτηνοτροφικές (βουστάσια - χοιροστάσια - ποιμνιοστάσια - ιπποφορβεία κ.λπ.), πτηνοτροφικές επιχειρήσεις και μονάδες εκτροφής θηραμάτων:</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Ι. Η απαιτούμενη </w:t>
      </w:r>
      <w:proofErr w:type="spellStart"/>
      <w:r w:rsidRPr="00AC3B62">
        <w:rPr>
          <w:rFonts w:ascii="Times New Roman" w:eastAsia="Times New Roman" w:hAnsi="Times New Roman" w:cs="Times New Roman"/>
          <w:sz w:val="24"/>
          <w:szCs w:val="24"/>
          <w:lang w:eastAsia="el-GR"/>
        </w:rPr>
        <w:t>αδειοδότηση</w:t>
      </w:r>
      <w:proofErr w:type="spellEnd"/>
      <w:r w:rsidRPr="00AC3B62">
        <w:rPr>
          <w:rFonts w:ascii="Times New Roman" w:eastAsia="Times New Roman" w:hAnsi="Times New Roman" w:cs="Times New Roman"/>
          <w:sz w:val="24"/>
          <w:szCs w:val="24"/>
          <w:lang w:eastAsia="el-GR"/>
        </w:rPr>
        <w:t xml:space="preserve"> σύμφωνα με το ν. 4056/2012 όπως κάθε φορά ισχύει.</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ΙΙ. Στις περιπτώσεις των μονάδων εκτροφής θηραμάτων, απαιτείται άδεια της αρμόδιας δασικής υπηρεσίας.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III. Στις περιπτώσεις των μονάδων αναπαραγωγής ή και εκκολαπτηρίων αυγών, απαιτούνται συμπληρωματικά:</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1. Στην περίπτωση των συνεταιρισμών:</w:t>
      </w:r>
      <w:r w:rsidRPr="00AC3B62">
        <w:rPr>
          <w:rFonts w:ascii="Times New Roman" w:eastAsia="Times New Roman" w:hAnsi="Times New Roman" w:cs="Times New Roman"/>
          <w:sz w:val="24"/>
          <w:szCs w:val="24"/>
          <w:lang w:eastAsia="el-GR"/>
        </w:rPr>
        <w:br/>
        <w:t>i) καταστατικό του συνεταιρισμού και αντίγραφο του βιβλίου Μητρώου μελών,</w:t>
      </w:r>
      <w:r w:rsidRPr="00AC3B62">
        <w:rPr>
          <w:rFonts w:ascii="Times New Roman" w:eastAsia="Times New Roman" w:hAnsi="Times New Roman" w:cs="Times New Roman"/>
          <w:sz w:val="24"/>
          <w:szCs w:val="24"/>
          <w:lang w:eastAsia="el-GR"/>
        </w:rPr>
        <w:br/>
        <w:t>ii) οι άδειες εγκατάστασης των πτηνοτροφικών μονάδων των μελών έτσι ώστε να πιστοποιείται η δυναμικότητά τους.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2. Στην περίπτωση επιχειρήσεων νεοσσών, η άδεια εγκατάστασης.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3. Στην περίπτωση επιχειρήσεων με συνεργαζόμενους πτηνοτρόφους:</w:t>
      </w:r>
      <w:r w:rsidRPr="00AC3B62">
        <w:rPr>
          <w:rFonts w:ascii="Times New Roman" w:eastAsia="Times New Roman" w:hAnsi="Times New Roman" w:cs="Times New Roman"/>
          <w:sz w:val="24"/>
          <w:szCs w:val="24"/>
          <w:lang w:eastAsia="el-GR"/>
        </w:rPr>
        <w:br/>
        <w:t>i) ιδιωτικό συμφωνητικό μεταξύ των συνεργαζομένων εταιρειών, με ισχύ τουλάχιστον 5 ετών από την ολοκλήρωση του επενδυτικού σχεδίου,</w:t>
      </w:r>
      <w:r w:rsidRPr="00AC3B62">
        <w:rPr>
          <w:rFonts w:ascii="Times New Roman" w:eastAsia="Times New Roman" w:hAnsi="Times New Roman" w:cs="Times New Roman"/>
          <w:sz w:val="24"/>
          <w:szCs w:val="24"/>
          <w:lang w:eastAsia="el-GR"/>
        </w:rPr>
        <w:br/>
        <w:t>ii) αποδεικτικά στοιχεία του αριθμού των νεοσσών που παρείχαν στους συνεργαζόμενους πτηνοτρόφους την τελευταία πενταετία.</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4. Βεβαιώσεις που να αποδεικνύουν τη συνολική δυναμικότητα των συνεταιρισμών, των επιχειρήσεων παραγωγής νεοσσών και των επιχειρήσεων με συνεργαζόμενους κτηνοτρόφους, από τη Δ/</w:t>
      </w:r>
      <w:proofErr w:type="spellStart"/>
      <w:r w:rsidRPr="00AC3B62">
        <w:rPr>
          <w:rFonts w:ascii="Times New Roman" w:eastAsia="Times New Roman" w:hAnsi="Times New Roman" w:cs="Times New Roman"/>
          <w:sz w:val="24"/>
          <w:szCs w:val="24"/>
          <w:lang w:eastAsia="el-GR"/>
        </w:rPr>
        <w:t>νση</w:t>
      </w:r>
      <w:proofErr w:type="spellEnd"/>
      <w:r w:rsidRPr="00AC3B62">
        <w:rPr>
          <w:rFonts w:ascii="Times New Roman" w:eastAsia="Times New Roman" w:hAnsi="Times New Roman" w:cs="Times New Roman"/>
          <w:sz w:val="24"/>
          <w:szCs w:val="24"/>
          <w:lang w:eastAsia="el-GR"/>
        </w:rPr>
        <w:t xml:space="preserve"> Αγροτικής Οικονομίας της οικείας Περιφερειακής Ενότητας.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5. Ιδιωτικό συμφωνητικό μεταξύ των συνεργαζόμενων επιχειρήσεων, με ισχύ τουλάχιστον 5 ετών από την ολοκλήρωση του επενδυτικού σχεδίου.</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b/>
          <w:bCs/>
          <w:sz w:val="24"/>
          <w:szCs w:val="24"/>
          <w:lang w:eastAsia="el-GR"/>
        </w:rPr>
        <w:t>Άρθρο 5</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1. Οι διατάξεις της παρούσας απόφασης δεν εφαρμόζονται στον τομέα της δασοκομίας, της αλιείας και της υδατοκαλλιέργειας.</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2. Κατά τα λοιπά εφαρμόζονται οι διατάξεις του ν. </w:t>
      </w:r>
      <w:hyperlink r:id="rId33"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και των οικείων αποφάσεων προκήρυξης καθεστώτων.</w:t>
      </w:r>
    </w:p>
    <w:p w:rsidR="00AC3B62" w:rsidRPr="00AC3B62" w:rsidRDefault="00AC3B62" w:rsidP="00AC3B62">
      <w:pPr>
        <w:spacing w:before="100" w:beforeAutospacing="1" w:after="100" w:afterAutospacing="1" w:line="240" w:lineRule="auto"/>
        <w:rPr>
          <w:rFonts w:ascii="Times New Roman" w:eastAsia="Times New Roman" w:hAnsi="Times New Roman" w:cs="Times New Roman"/>
          <w:sz w:val="24"/>
          <w:szCs w:val="24"/>
          <w:lang w:eastAsia="el-GR"/>
        </w:rPr>
      </w:pPr>
      <w:r w:rsidRPr="00AC3B62">
        <w:rPr>
          <w:rFonts w:ascii="Times New Roman" w:eastAsia="Times New Roman" w:hAnsi="Times New Roman" w:cs="Times New Roman"/>
          <w:b/>
          <w:bCs/>
          <w:sz w:val="24"/>
          <w:szCs w:val="24"/>
          <w:lang w:eastAsia="el-GR"/>
        </w:rPr>
        <w:lastRenderedPageBreak/>
        <w:t>Άρθρο 6</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1. Από τις διατάξεις της παρούσας απόφασης δεν προκαλείται πρόσθετη δαπάνη του προϋπολογισμού Δημοσίων Επενδύσεων.</w:t>
      </w:r>
      <w:r w:rsidRPr="00AC3B62">
        <w:rPr>
          <w:rFonts w:ascii="Times New Roman" w:eastAsia="Times New Roman" w:hAnsi="Times New Roman" w:cs="Times New Roman"/>
          <w:sz w:val="24"/>
          <w:szCs w:val="24"/>
          <w:lang w:eastAsia="el-GR"/>
        </w:rPr>
        <w:br/>
      </w:r>
      <w:r w:rsidRPr="00AC3B62">
        <w:rPr>
          <w:rFonts w:ascii="Times New Roman" w:eastAsia="Times New Roman" w:hAnsi="Times New Roman" w:cs="Times New Roman"/>
          <w:sz w:val="24"/>
          <w:szCs w:val="24"/>
          <w:lang w:eastAsia="el-GR"/>
        </w:rPr>
        <w:br/>
        <w:t xml:space="preserve">2. Η ισχύς της παρούσας απόφασης αρχίζει από τη δημοσίευσή της στην Εφημερίδα της Κυβερνήσεως και εφαρμόζεται για τα επενδυτικά σχέδια που εμπίπτουν στο πεδίο εφαρμογής της, τα οποία θα υποβληθούν σε καθεστώτα ενισχύσεων του ν. </w:t>
      </w:r>
      <w:hyperlink r:id="rId34" w:tgtFrame="_blank" w:history="1">
        <w:r w:rsidRPr="00AC3B62">
          <w:rPr>
            <w:rFonts w:ascii="Times New Roman" w:eastAsia="Times New Roman" w:hAnsi="Times New Roman" w:cs="Times New Roman"/>
            <w:color w:val="0000FF"/>
            <w:sz w:val="24"/>
            <w:szCs w:val="24"/>
            <w:u w:val="single"/>
            <w:lang w:eastAsia="el-GR"/>
          </w:rPr>
          <w:t>4399/2016</w:t>
        </w:r>
      </w:hyperlink>
      <w:r w:rsidRPr="00AC3B62">
        <w:rPr>
          <w:rFonts w:ascii="Times New Roman" w:eastAsia="Times New Roman" w:hAnsi="Times New Roman" w:cs="Times New Roman"/>
          <w:sz w:val="24"/>
          <w:szCs w:val="24"/>
          <w:lang w:eastAsia="el-GR"/>
        </w:rPr>
        <w:t xml:space="preserve"> από τη δημοσίευσή της και μετά.</w:t>
      </w:r>
    </w:p>
    <w:p w:rsidR="00AC3B62" w:rsidRPr="00AC3B62" w:rsidRDefault="00AC3B62" w:rsidP="00AC3B62">
      <w:pPr>
        <w:spacing w:after="240" w:line="240" w:lineRule="auto"/>
        <w:rPr>
          <w:rFonts w:ascii="Times New Roman" w:eastAsia="Times New Roman" w:hAnsi="Times New Roman" w:cs="Times New Roman"/>
          <w:sz w:val="24"/>
          <w:szCs w:val="24"/>
          <w:lang w:eastAsia="el-GR"/>
        </w:rPr>
      </w:pPr>
    </w:p>
    <w:tbl>
      <w:tblPr>
        <w:tblW w:w="8200" w:type="dxa"/>
        <w:tblCellMar>
          <w:left w:w="0" w:type="dxa"/>
          <w:right w:w="0" w:type="dxa"/>
        </w:tblCellMar>
        <w:tblLook w:val="04A0"/>
      </w:tblPr>
      <w:tblGrid>
        <w:gridCol w:w="2989"/>
        <w:gridCol w:w="1357"/>
        <w:gridCol w:w="1275"/>
        <w:gridCol w:w="1275"/>
        <w:gridCol w:w="1304"/>
      </w:tblGrid>
      <w:tr w:rsidR="00AC3B62" w:rsidRPr="00AC3B62" w:rsidTr="00AC3B62">
        <w:trPr>
          <w:trHeight w:val="510"/>
        </w:trPr>
        <w:tc>
          <w:tcPr>
            <w:tcW w:w="3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Calibri" w:eastAsia="Times New Roman" w:hAnsi="Calibri" w:cs="Calibri"/>
                <w:b/>
                <w:bCs/>
                <w:color w:val="000000"/>
                <w:lang w:eastAsia="el-GR"/>
              </w:rPr>
            </w:pPr>
            <w:r w:rsidRPr="00AC3B62">
              <w:rPr>
                <w:rFonts w:ascii="Calibri" w:eastAsia="Times New Roman" w:hAnsi="Calibri" w:cs="Calibri"/>
                <w:b/>
                <w:bCs/>
                <w:color w:val="000000"/>
                <w:lang w:eastAsia="el-GR"/>
              </w:rPr>
              <w:t> </w:t>
            </w:r>
          </w:p>
        </w:tc>
        <w:tc>
          <w:tcPr>
            <w:tcW w:w="3540"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Δαπάνες άρθρου 8</w:t>
            </w:r>
          </w:p>
        </w:tc>
        <w:tc>
          <w:tcPr>
            <w:tcW w:w="12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Δαπάνες άρθρου 9</w:t>
            </w:r>
          </w:p>
        </w:tc>
      </w:tr>
      <w:tr w:rsidR="00AC3B62" w:rsidRPr="00AC3B62" w:rsidTr="00AC3B62">
        <w:trPr>
          <w:trHeight w:val="1275"/>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000000"/>
                <w:sz w:val="20"/>
                <w:szCs w:val="20"/>
                <w:lang w:eastAsia="el-GR"/>
              </w:rPr>
            </w:pPr>
            <w:r w:rsidRPr="00AC3B62">
              <w:rPr>
                <w:rFonts w:ascii="Arial" w:eastAsia="Times New Roman" w:hAnsi="Arial" w:cs="Arial"/>
                <w:b/>
                <w:bCs/>
                <w:color w:val="000000"/>
                <w:sz w:val="20"/>
                <w:szCs w:val="20"/>
                <w:lang w:eastAsia="el-GR"/>
              </w:rPr>
              <w:t> </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000000"/>
                <w:sz w:val="20"/>
                <w:szCs w:val="20"/>
                <w:lang w:eastAsia="el-GR"/>
              </w:rPr>
            </w:pPr>
            <w:r w:rsidRPr="00AC3B62">
              <w:rPr>
                <w:rFonts w:ascii="Arial" w:eastAsia="Times New Roman" w:hAnsi="Arial" w:cs="Arial"/>
                <w:b/>
                <w:bCs/>
                <w:color w:val="000000"/>
                <w:sz w:val="20"/>
                <w:szCs w:val="20"/>
                <w:lang w:eastAsia="el-GR"/>
              </w:rPr>
              <w:t> </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000000"/>
                <w:sz w:val="20"/>
                <w:szCs w:val="20"/>
                <w:lang w:eastAsia="el-GR"/>
              </w:rPr>
            </w:pPr>
            <w:r w:rsidRPr="00AC3B62">
              <w:rPr>
                <w:rFonts w:ascii="Arial" w:eastAsia="Times New Roman" w:hAnsi="Arial" w:cs="Arial"/>
                <w:b/>
                <w:bCs/>
                <w:color w:val="000000"/>
                <w:sz w:val="20"/>
                <w:szCs w:val="20"/>
                <w:lang w:eastAsia="el-GR"/>
              </w:rPr>
              <w:t> </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000000"/>
                <w:sz w:val="20"/>
                <w:szCs w:val="20"/>
                <w:lang w:eastAsia="el-GR"/>
              </w:rPr>
            </w:pPr>
            <w:r w:rsidRPr="00AC3B62">
              <w:rPr>
                <w:rFonts w:ascii="Arial" w:eastAsia="Times New Roman" w:hAnsi="Arial" w:cs="Arial"/>
                <w:b/>
                <w:bCs/>
                <w:color w:val="000000"/>
                <w:sz w:val="20"/>
                <w:szCs w:val="20"/>
                <w:lang w:eastAsia="el-GR"/>
              </w:rPr>
              <w:t> </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όλα τα μεγέθη ΜΜΕ (πολύ μικρές, μικρές και</w:t>
            </w:r>
          </w:p>
        </w:tc>
      </w:tr>
      <w:tr w:rsidR="00AC3B62" w:rsidRPr="00AC3B62" w:rsidTr="00AC3B62">
        <w:trPr>
          <w:trHeight w:val="765"/>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000000"/>
                <w:sz w:val="21"/>
                <w:szCs w:val="21"/>
                <w:lang w:eastAsia="el-GR"/>
              </w:rPr>
            </w:pPr>
            <w:r w:rsidRPr="00AC3B62">
              <w:rPr>
                <w:rFonts w:ascii="Arial" w:eastAsia="Times New Roman" w:hAnsi="Arial" w:cs="Arial"/>
                <w:b/>
                <w:bCs/>
                <w:color w:val="000000"/>
                <w:sz w:val="21"/>
                <w:szCs w:val="21"/>
                <w:lang w:eastAsia="el-GR"/>
              </w:rPr>
              <w:t> </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Μεγάλες Επιχειρήσεις</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Μεσαίες Επιχειρήσεις</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Μικρές Επιχειρήσεις</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μεσαίες) επιχειρήσεις)</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Περιφέρεια</w:t>
            </w:r>
          </w:p>
        </w:tc>
        <w:tc>
          <w:tcPr>
            <w:tcW w:w="1380" w:type="dxa"/>
            <w:tcBorders>
              <w:top w:val="nil"/>
              <w:left w:val="nil"/>
              <w:bottom w:val="single" w:sz="4" w:space="0" w:color="auto"/>
              <w:right w:val="single" w:sz="4" w:space="0" w:color="auto"/>
            </w:tcBorders>
            <w:tcMar>
              <w:top w:w="15" w:type="dxa"/>
              <w:left w:w="15" w:type="dxa"/>
              <w:bottom w:w="0" w:type="dxa"/>
              <w:right w:w="15" w:type="dxa"/>
            </w:tcMar>
            <w:hideMark/>
          </w:tcPr>
          <w:p w:rsidR="00AC3B62" w:rsidRPr="00AC3B62" w:rsidRDefault="00AC3B62" w:rsidP="00AC3B62">
            <w:pPr>
              <w:spacing w:after="0" w:line="240" w:lineRule="auto"/>
              <w:jc w:val="center"/>
              <w:rPr>
                <w:rFonts w:ascii="Calibri" w:eastAsia="Times New Roman" w:hAnsi="Calibri" w:cs="Calibri"/>
                <w:b/>
                <w:bCs/>
                <w:color w:val="000000"/>
                <w:lang w:eastAsia="el-GR"/>
              </w:rPr>
            </w:pPr>
            <w:r w:rsidRPr="00AC3B62">
              <w:rPr>
                <w:rFonts w:ascii="Calibri" w:eastAsia="Times New Roman" w:hAnsi="Calibri" w:cs="Calibri"/>
                <w:b/>
                <w:bCs/>
                <w:color w:val="000000"/>
                <w:lang w:eastAsia="el-GR"/>
              </w:rPr>
              <w:t> </w:t>
            </w:r>
          </w:p>
        </w:tc>
        <w:tc>
          <w:tcPr>
            <w:tcW w:w="1240" w:type="dxa"/>
            <w:tcBorders>
              <w:top w:val="nil"/>
              <w:left w:val="nil"/>
              <w:bottom w:val="single" w:sz="4" w:space="0" w:color="auto"/>
              <w:right w:val="single" w:sz="4" w:space="0" w:color="auto"/>
            </w:tcBorders>
            <w:tcMar>
              <w:top w:w="15" w:type="dxa"/>
              <w:left w:w="15" w:type="dxa"/>
              <w:bottom w:w="0" w:type="dxa"/>
              <w:right w:w="15" w:type="dxa"/>
            </w:tcMar>
            <w:hideMark/>
          </w:tcPr>
          <w:p w:rsidR="00AC3B62" w:rsidRPr="00AC3B62" w:rsidRDefault="00AC3B62" w:rsidP="00AC3B62">
            <w:pPr>
              <w:spacing w:after="0" w:line="240" w:lineRule="auto"/>
              <w:jc w:val="center"/>
              <w:rPr>
                <w:rFonts w:ascii="Calibri" w:eastAsia="Times New Roman" w:hAnsi="Calibri" w:cs="Calibri"/>
                <w:b/>
                <w:bCs/>
                <w:color w:val="000000"/>
                <w:lang w:eastAsia="el-GR"/>
              </w:rPr>
            </w:pPr>
            <w:r w:rsidRPr="00AC3B62">
              <w:rPr>
                <w:rFonts w:ascii="Calibri" w:eastAsia="Times New Roman" w:hAnsi="Calibri" w:cs="Calibri"/>
                <w:b/>
                <w:bCs/>
                <w:color w:val="000000"/>
                <w:lang w:eastAsia="el-GR"/>
              </w:rPr>
              <w:t> </w:t>
            </w:r>
          </w:p>
        </w:tc>
        <w:tc>
          <w:tcPr>
            <w:tcW w:w="920" w:type="dxa"/>
            <w:tcBorders>
              <w:top w:val="nil"/>
              <w:left w:val="nil"/>
              <w:bottom w:val="single" w:sz="4" w:space="0" w:color="auto"/>
              <w:right w:val="single" w:sz="4" w:space="0" w:color="auto"/>
            </w:tcBorders>
            <w:tcMar>
              <w:top w:w="15" w:type="dxa"/>
              <w:left w:w="15" w:type="dxa"/>
              <w:bottom w:w="0" w:type="dxa"/>
              <w:right w:w="15" w:type="dxa"/>
            </w:tcMar>
            <w:hideMark/>
          </w:tcPr>
          <w:p w:rsidR="00AC3B62" w:rsidRPr="00AC3B62" w:rsidRDefault="00AC3B62" w:rsidP="00AC3B62">
            <w:pPr>
              <w:spacing w:after="0" w:line="240" w:lineRule="auto"/>
              <w:jc w:val="center"/>
              <w:rPr>
                <w:rFonts w:ascii="Calibri" w:eastAsia="Times New Roman" w:hAnsi="Calibri" w:cs="Calibri"/>
                <w:b/>
                <w:bCs/>
                <w:color w:val="000000"/>
                <w:lang w:eastAsia="el-GR"/>
              </w:rPr>
            </w:pPr>
            <w:r w:rsidRPr="00AC3B62">
              <w:rPr>
                <w:rFonts w:ascii="Calibri" w:eastAsia="Times New Roman" w:hAnsi="Calibri" w:cs="Calibri"/>
                <w:b/>
                <w:bCs/>
                <w:color w:val="000000"/>
                <w:lang w:eastAsia="el-GR"/>
              </w:rPr>
              <w:t> </w:t>
            </w:r>
          </w:p>
        </w:tc>
        <w:tc>
          <w:tcPr>
            <w:tcW w:w="1260" w:type="dxa"/>
            <w:tcBorders>
              <w:top w:val="nil"/>
              <w:left w:val="nil"/>
              <w:bottom w:val="single" w:sz="4" w:space="0" w:color="auto"/>
              <w:right w:val="single" w:sz="4" w:space="0" w:color="auto"/>
            </w:tcBorders>
            <w:tcMar>
              <w:top w:w="15" w:type="dxa"/>
              <w:left w:w="15" w:type="dxa"/>
              <w:bottom w:w="0" w:type="dxa"/>
              <w:right w:w="15" w:type="dxa"/>
            </w:tcMar>
            <w:hideMark/>
          </w:tcPr>
          <w:p w:rsidR="00AC3B62" w:rsidRPr="00AC3B62" w:rsidRDefault="00AC3B62" w:rsidP="00AC3B62">
            <w:pPr>
              <w:spacing w:after="0" w:line="240" w:lineRule="auto"/>
              <w:jc w:val="center"/>
              <w:rPr>
                <w:rFonts w:ascii="Calibri" w:eastAsia="Times New Roman" w:hAnsi="Calibri" w:cs="Calibri"/>
                <w:b/>
                <w:bCs/>
                <w:color w:val="000000"/>
                <w:lang w:eastAsia="el-GR"/>
              </w:rPr>
            </w:pPr>
            <w:r w:rsidRPr="00AC3B62">
              <w:rPr>
                <w:rFonts w:ascii="Calibri" w:eastAsia="Times New Roman" w:hAnsi="Calibri" w:cs="Calibri"/>
                <w:b/>
                <w:bCs/>
                <w:color w:val="000000"/>
                <w:lang w:eastAsia="el-GR"/>
              </w:rPr>
              <w:t> </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Ανατολικής Μακεδονίας - Θράκης</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Calibri" w:eastAsia="Times New Roman" w:hAnsi="Calibri" w:cs="Calibri"/>
                <w:b/>
                <w:bCs/>
                <w:color w:val="000000"/>
                <w:lang w:eastAsia="el-GR"/>
              </w:rPr>
            </w:pPr>
            <w:r w:rsidRPr="00AC3B62">
              <w:rPr>
                <w:rFonts w:ascii="Calibri" w:eastAsia="Times New Roman" w:hAnsi="Calibri" w:cs="Calibri"/>
                <w:b/>
                <w:bCs/>
                <w:color w:val="000000"/>
                <w:lang w:eastAsia="el-GR"/>
              </w:rPr>
              <w:t> </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Κεντρικής Μακεδονίας</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Δυτικής Μακεδονίας</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35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Ηπείρου</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Θεσσαλίας</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Στερεάς Ελλάδας</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35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Ιονίων Νήσων</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35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Δυτικής Ελλάδας</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Πελοποννήσου</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Αττικής (Δυτική, Πειραιάς Νήσοι)</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Calibri" w:eastAsia="Times New Roman" w:hAnsi="Calibri" w:cs="Calibri"/>
                <w:b/>
                <w:bCs/>
                <w:color w:val="000000"/>
                <w:lang w:eastAsia="el-GR"/>
              </w:rPr>
            </w:pPr>
            <w:r w:rsidRPr="00AC3B62">
              <w:rPr>
                <w:rFonts w:ascii="Calibri" w:eastAsia="Times New Roman" w:hAnsi="Calibri" w:cs="Calibri"/>
                <w:b/>
                <w:bCs/>
                <w:color w:val="000000"/>
                <w:lang w:eastAsia="el-GR"/>
              </w:rPr>
              <w:t> </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30</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40</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Αττικής (λοιπά)</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20</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30</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Βορείου Αιγαίου</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55</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Νοτίου Αιγαίου</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30</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40</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r w:rsidR="00AC3B62" w:rsidRPr="00AC3B62" w:rsidTr="00AC3B62">
        <w:trPr>
          <w:trHeight w:val="300"/>
        </w:trPr>
        <w:tc>
          <w:tcPr>
            <w:tcW w:w="340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Κρήτης</w:t>
            </w:r>
          </w:p>
        </w:tc>
        <w:tc>
          <w:tcPr>
            <w:tcW w:w="13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w:t>
            </w:r>
          </w:p>
        </w:tc>
        <w:tc>
          <w:tcPr>
            <w:tcW w:w="124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35</w:t>
            </w:r>
          </w:p>
        </w:tc>
        <w:tc>
          <w:tcPr>
            <w:tcW w:w="9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45</w:t>
            </w:r>
          </w:p>
        </w:tc>
        <w:tc>
          <w:tcPr>
            <w:tcW w:w="12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C3B62" w:rsidRPr="00AC3B62" w:rsidRDefault="00AC3B62" w:rsidP="00AC3B62">
            <w:pPr>
              <w:spacing w:after="0" w:line="240" w:lineRule="auto"/>
              <w:jc w:val="center"/>
              <w:rPr>
                <w:rFonts w:ascii="Arial" w:eastAsia="Times New Roman" w:hAnsi="Arial" w:cs="Arial"/>
                <w:b/>
                <w:bCs/>
                <w:color w:val="231F20"/>
                <w:sz w:val="20"/>
                <w:szCs w:val="20"/>
                <w:lang w:eastAsia="el-GR"/>
              </w:rPr>
            </w:pPr>
            <w:r w:rsidRPr="00AC3B62">
              <w:rPr>
                <w:rFonts w:ascii="Arial" w:eastAsia="Times New Roman" w:hAnsi="Arial" w:cs="Arial"/>
                <w:b/>
                <w:bCs/>
                <w:color w:val="231F20"/>
                <w:sz w:val="20"/>
                <w:szCs w:val="20"/>
                <w:lang w:eastAsia="el-GR"/>
              </w:rPr>
              <w:t>50»</w:t>
            </w:r>
          </w:p>
        </w:tc>
      </w:tr>
    </w:tbl>
    <w:p w:rsidR="00004DFD" w:rsidRDefault="00AC3B62"/>
    <w:sectPr w:rsidR="00004DFD" w:rsidSect="00535B1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3B62"/>
    <w:rsid w:val="004378A7"/>
    <w:rsid w:val="00535B14"/>
    <w:rsid w:val="00725FEA"/>
    <w:rsid w:val="009C3D25"/>
    <w:rsid w:val="00AC3B62"/>
    <w:rsid w:val="00C24746"/>
    <w:rsid w:val="00C46E35"/>
    <w:rsid w:val="00D92D3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B14"/>
  </w:style>
  <w:style w:type="paragraph" w:styleId="2">
    <w:name w:val="heading 2"/>
    <w:basedOn w:val="a"/>
    <w:link w:val="2Char"/>
    <w:uiPriority w:val="9"/>
    <w:qFormat/>
    <w:rsid w:val="00AC3B62"/>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AC3B62"/>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AC3B6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AC3B62"/>
    <w:rPr>
      <w:color w:val="0000FF"/>
      <w:u w:val="single"/>
    </w:rPr>
  </w:style>
</w:styles>
</file>

<file path=word/webSettings.xml><?xml version="1.0" encoding="utf-8"?>
<w:webSettings xmlns:r="http://schemas.openxmlformats.org/officeDocument/2006/relationships" xmlns:w="http://schemas.openxmlformats.org/wordprocessingml/2006/main">
  <w:divs>
    <w:div w:id="1518151205">
      <w:bodyDiv w:val="1"/>
      <w:marLeft w:val="0"/>
      <w:marRight w:val="0"/>
      <w:marTop w:val="0"/>
      <w:marBottom w:val="0"/>
      <w:divBdr>
        <w:top w:val="none" w:sz="0" w:space="0" w:color="auto"/>
        <w:left w:val="none" w:sz="0" w:space="0" w:color="auto"/>
        <w:bottom w:val="none" w:sz="0" w:space="0" w:color="auto"/>
        <w:right w:val="none" w:sz="0" w:space="0" w:color="auto"/>
      </w:divBdr>
      <w:divsChild>
        <w:div w:id="1000277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axheaven.gr/circulars/29193/kanonismos-ee-ario-651-2014-ths-epitrophs" TargetMode="External"/><Relationship Id="rId13" Type="http://schemas.openxmlformats.org/officeDocument/2006/relationships/hyperlink" Target="https://www.taxheaven.gr/laws/law/index/law/757" TargetMode="External"/><Relationship Id="rId18" Type="http://schemas.openxmlformats.org/officeDocument/2006/relationships/hyperlink" Target="https://www.taxheaven.gr/laws/law/index/law/757" TargetMode="External"/><Relationship Id="rId26" Type="http://schemas.openxmlformats.org/officeDocument/2006/relationships/hyperlink" Target="https://www.taxheaven.gr/laws/law/index/law/757" TargetMode="External"/><Relationship Id="rId3" Type="http://schemas.openxmlformats.org/officeDocument/2006/relationships/webSettings" Target="webSettings.xml"/><Relationship Id="rId21" Type="http://schemas.openxmlformats.org/officeDocument/2006/relationships/hyperlink" Target="https://www.taxheaven.gr/circulars/29193/kanonismos-ee-ario-651-2014-ths-epitrophs" TargetMode="External"/><Relationship Id="rId34" Type="http://schemas.openxmlformats.org/officeDocument/2006/relationships/hyperlink" Target="https://www.taxheaven.gr/laws/law/index/law/757" TargetMode="External"/><Relationship Id="rId7" Type="http://schemas.openxmlformats.org/officeDocument/2006/relationships/hyperlink" Target="https://www.taxheaven.gr/circulars/29193/kanonismos-ee-ario-651-2014-ths-epitrophs" TargetMode="External"/><Relationship Id="rId12" Type="http://schemas.openxmlformats.org/officeDocument/2006/relationships/hyperlink" Target="https://www.taxheaven.gr/laws/law/index/law/757" TargetMode="External"/><Relationship Id="rId17" Type="http://schemas.openxmlformats.org/officeDocument/2006/relationships/hyperlink" Target="https://www.taxheaven.gr/laws/law/index/law/757" TargetMode="External"/><Relationship Id="rId25" Type="http://schemas.openxmlformats.org/officeDocument/2006/relationships/hyperlink" Target="https://www.taxheaven.gr/laws/law/index/law/757" TargetMode="External"/><Relationship Id="rId33" Type="http://schemas.openxmlformats.org/officeDocument/2006/relationships/hyperlink" Target="https://www.taxheaven.gr/laws/law/index/law/757" TargetMode="External"/><Relationship Id="rId2" Type="http://schemas.openxmlformats.org/officeDocument/2006/relationships/settings" Target="settings.xml"/><Relationship Id="rId16" Type="http://schemas.openxmlformats.org/officeDocument/2006/relationships/hyperlink" Target="https://www.taxheaven.gr/laws/law/index/law/757" TargetMode="External"/><Relationship Id="rId20" Type="http://schemas.openxmlformats.org/officeDocument/2006/relationships/hyperlink" Target="https://www.taxheaven.gr/laws/law/index/law/757" TargetMode="External"/><Relationship Id="rId29" Type="http://schemas.openxmlformats.org/officeDocument/2006/relationships/hyperlink" Target="https://www.taxheaven.gr/laws/law/index/law/757" TargetMode="External"/><Relationship Id="rId1" Type="http://schemas.openxmlformats.org/officeDocument/2006/relationships/styles" Target="styles.xml"/><Relationship Id="rId6" Type="http://schemas.openxmlformats.org/officeDocument/2006/relationships/hyperlink" Target="https://www.taxheaven.gr/membersonly" TargetMode="External"/><Relationship Id="rId11" Type="http://schemas.openxmlformats.org/officeDocument/2006/relationships/hyperlink" Target="https://www.taxheaven.gr/membersonly" TargetMode="External"/><Relationship Id="rId24" Type="http://schemas.openxmlformats.org/officeDocument/2006/relationships/hyperlink" Target="https://www.taxheaven.gr/laws/law/index/law/757" TargetMode="External"/><Relationship Id="rId32" Type="http://schemas.openxmlformats.org/officeDocument/2006/relationships/hyperlink" Target="https://www.taxheaven.gr/laws/law/index/law/757" TargetMode="External"/><Relationship Id="rId5" Type="http://schemas.openxmlformats.org/officeDocument/2006/relationships/hyperlink" Target="https://www.taxheaven.gr/membersonly" TargetMode="External"/><Relationship Id="rId15" Type="http://schemas.openxmlformats.org/officeDocument/2006/relationships/hyperlink" Target="https://www.taxheaven.gr/membersonly" TargetMode="External"/><Relationship Id="rId23" Type="http://schemas.openxmlformats.org/officeDocument/2006/relationships/hyperlink" Target="https://www.taxheaven.gr/laws/law/index/law/757" TargetMode="External"/><Relationship Id="rId28" Type="http://schemas.openxmlformats.org/officeDocument/2006/relationships/hyperlink" Target="https://www.taxheaven.gr/laws/law/index/law/757" TargetMode="External"/><Relationship Id="rId36" Type="http://schemas.openxmlformats.org/officeDocument/2006/relationships/theme" Target="theme/theme1.xml"/><Relationship Id="rId10" Type="http://schemas.openxmlformats.org/officeDocument/2006/relationships/hyperlink" Target="https://www.taxheaven.gr/membersonly" TargetMode="External"/><Relationship Id="rId19" Type="http://schemas.openxmlformats.org/officeDocument/2006/relationships/hyperlink" Target="https://www.taxheaven.gr/circulars/26935/slee" TargetMode="External"/><Relationship Id="rId31" Type="http://schemas.openxmlformats.org/officeDocument/2006/relationships/hyperlink" Target="https://www.taxheaven.gr/laws/law/index/law/757" TargetMode="External"/><Relationship Id="rId4" Type="http://schemas.openxmlformats.org/officeDocument/2006/relationships/hyperlink" Target="https://www.taxheaven.gr/laws/law/index/law/757" TargetMode="External"/><Relationship Id="rId9" Type="http://schemas.openxmlformats.org/officeDocument/2006/relationships/hyperlink" Target="https://www.taxheaven.gr/circulars/29193/kanonismos-ee-ario-651-2014-ths-epitrophs" TargetMode="External"/><Relationship Id="rId14" Type="http://schemas.openxmlformats.org/officeDocument/2006/relationships/hyperlink" Target="https://www.taxheaven.gr/laws/law/index/law/757" TargetMode="External"/><Relationship Id="rId22" Type="http://schemas.openxmlformats.org/officeDocument/2006/relationships/hyperlink" Target="https://www.taxheaven.gr/membersonly" TargetMode="External"/><Relationship Id="rId27" Type="http://schemas.openxmlformats.org/officeDocument/2006/relationships/hyperlink" Target="https://www.taxheaven.gr/laws/law/index/law/757" TargetMode="External"/><Relationship Id="rId30" Type="http://schemas.openxmlformats.org/officeDocument/2006/relationships/hyperlink" Target="https://www.taxheaven.gr/membersonly" TargetMode="External"/><Relationship Id="rId35"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4347</Words>
  <Characters>23480</Characters>
  <Application>Microsoft Office Word</Application>
  <DocSecurity>0</DocSecurity>
  <Lines>195</Lines>
  <Paragraphs>55</Paragraphs>
  <ScaleCrop>false</ScaleCrop>
  <Company/>
  <LinksUpToDate>false</LinksUpToDate>
  <CharactersWithSpaces>27772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Κωνσταντίνα</cp:lastModifiedBy>
  <cp:revision>1</cp:revision>
  <dcterms:created xsi:type="dcterms:W3CDTF">2021-04-20T06:13:00Z</dcterms:created>
  <dcterms:modified xsi:type="dcterms:W3CDTF">2021-04-20T06:14:00Z</dcterms:modified>
</cp:coreProperties>
</file>