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D01" w:rsidRPr="002C1EB7" w:rsidRDefault="00A83D01">
      <w:pPr>
        <w:rPr>
          <w:b/>
          <w:sz w:val="28"/>
          <w:szCs w:val="28"/>
          <w:u w:val="single"/>
        </w:rPr>
      </w:pPr>
      <w:r>
        <w:rPr>
          <w:b/>
          <w:sz w:val="24"/>
          <w:szCs w:val="24"/>
        </w:rPr>
        <w:t xml:space="preserve">                               </w:t>
      </w:r>
      <w:r w:rsidRPr="002C1EB7">
        <w:rPr>
          <w:b/>
          <w:sz w:val="28"/>
          <w:szCs w:val="28"/>
          <w:u w:val="single"/>
        </w:rPr>
        <w:t xml:space="preserve">ΟΔΗΓΟΣ ΧΡΗΜΑΤΟΔΟΤΗΣΕΩΝ 2020 </w:t>
      </w:r>
    </w:p>
    <w:p w:rsidR="000D5295" w:rsidRDefault="00A83D01">
      <w:pPr>
        <w:rPr>
          <w:b/>
          <w:sz w:val="24"/>
          <w:szCs w:val="24"/>
        </w:rPr>
      </w:pPr>
      <w:r>
        <w:rPr>
          <w:b/>
          <w:sz w:val="24"/>
          <w:szCs w:val="24"/>
        </w:rPr>
        <w:t xml:space="preserve">               </w:t>
      </w:r>
      <w:r w:rsidRPr="00A83D01">
        <w:rPr>
          <w:b/>
          <w:sz w:val="24"/>
          <w:szCs w:val="24"/>
        </w:rPr>
        <w:t xml:space="preserve">  ΠΕΡΙΦΕΡΕΙΑΚΩΝ  ΕΝΙΣΧΥΣΕΩΝ  ΚΑΙ  ΕΣΠΑ  ΓΙΑ ΟΤΑ  Α’ &amp; Β’</w:t>
      </w:r>
    </w:p>
    <w:p w:rsidR="002C1EB7" w:rsidRPr="002C1EB7" w:rsidRDefault="002C1EB7">
      <w:pPr>
        <w:rPr>
          <w:b/>
          <w:sz w:val="24"/>
          <w:szCs w:val="24"/>
          <w:lang w:val="en-US"/>
        </w:rPr>
      </w:pPr>
      <w:r>
        <w:rPr>
          <w:b/>
          <w:sz w:val="24"/>
          <w:szCs w:val="24"/>
        </w:rPr>
        <w:t xml:space="preserve">                              </w:t>
      </w:r>
      <w:r>
        <w:rPr>
          <w:b/>
          <w:sz w:val="24"/>
          <w:szCs w:val="24"/>
          <w:lang w:val="en-US"/>
        </w:rPr>
        <w:t xml:space="preserve">            </w:t>
      </w:r>
      <w:r>
        <w:rPr>
          <w:b/>
          <w:sz w:val="24"/>
          <w:szCs w:val="24"/>
        </w:rPr>
        <w:t xml:space="preserve"> ΑΠΟ ΤΗΝ </w:t>
      </w:r>
      <w:proofErr w:type="spellStart"/>
      <w:r w:rsidRPr="002C1EB7">
        <w:rPr>
          <w:b/>
          <w:color w:val="C00000"/>
          <w:sz w:val="24"/>
          <w:szCs w:val="24"/>
          <w:lang w:val="en-US"/>
        </w:rPr>
        <w:t>ILFconsulting</w:t>
      </w:r>
      <w:proofErr w:type="spellEnd"/>
    </w:p>
    <w:p w:rsidR="00A83D01" w:rsidRDefault="002C1EB7">
      <w:r>
        <w:t>Την περίοδο αυτή, πιο επιτακτικά σε σχέση με το παρελθόν, η Αυτοδιοίκηση καλείται να υποστηρίξει τις αυξημένες ανάγκες των πολιτών της, να προγραμματίσει και να υλοποιήσει έγκαιρα δράσεις που θα βελτιώσουν την ποιότητα ζωής, να ενισχύσει την κοινωνική συνοχή, να προωθήσει την επιχειρηματικότητα και την καινοτομία, μεριμνώντας παράλληλα για την προστασία, αναβάθμιση και ανάδειξη του περιβάλλοντος.</w:t>
      </w:r>
    </w:p>
    <w:p w:rsidR="002C1EB7" w:rsidRDefault="002C1EB7">
      <w:r>
        <w:rPr>
          <w:lang w:val="en-US"/>
        </w:rPr>
        <w:t>O</w:t>
      </w:r>
      <w:r w:rsidRPr="002C1EB7">
        <w:t xml:space="preserve"> </w:t>
      </w:r>
      <w:r>
        <w:t xml:space="preserve">οδηγός χρηματοδοτήσεων που δημιούργησε </w:t>
      </w:r>
      <w:proofErr w:type="gramStart"/>
      <w:r>
        <w:t xml:space="preserve">η </w:t>
      </w:r>
      <w:r w:rsidRPr="002C1EB7">
        <w:t xml:space="preserve"> </w:t>
      </w:r>
      <w:proofErr w:type="spellStart"/>
      <w:r w:rsidRPr="002C1EB7">
        <w:rPr>
          <w:color w:val="C00000"/>
          <w:lang w:val="en-US"/>
        </w:rPr>
        <w:t>ILFconsulting</w:t>
      </w:r>
      <w:proofErr w:type="spellEnd"/>
      <w:proofErr w:type="gramEnd"/>
      <w:r>
        <w:t>, επιδιώκει να καλύψει την ανάγκη που δημιουργείται για την εξεύρεση πόρων και φιλοδοξεί να αποτελέσει το βασικό εργαλείο της Αυτοδιοίκησης κατά το σχεδιασμό και την υλοποίηση των δράσεών της.</w:t>
      </w:r>
    </w:p>
    <w:p w:rsidR="002C1EB7" w:rsidRDefault="002C1EB7">
      <w:r>
        <w:t>Αναλυτικότερα τα προγράμματα:</w:t>
      </w:r>
    </w:p>
    <w:p w:rsidR="002C1EB7" w:rsidRPr="002C1EB7" w:rsidRDefault="002C1EB7">
      <w:r>
        <w:t xml:space="preserve"> </w:t>
      </w:r>
    </w:p>
    <w:tbl>
      <w:tblPr>
        <w:tblW w:w="0" w:type="auto"/>
        <w:tblCellSpacing w:w="15" w:type="dxa"/>
        <w:tblCellMar>
          <w:top w:w="60" w:type="dxa"/>
          <w:left w:w="60" w:type="dxa"/>
          <w:bottom w:w="60" w:type="dxa"/>
          <w:right w:w="60" w:type="dxa"/>
        </w:tblCellMar>
        <w:tblLook w:val="04A0"/>
      </w:tblPr>
      <w:tblGrid>
        <w:gridCol w:w="2144"/>
        <w:gridCol w:w="6342"/>
      </w:tblGrid>
      <w:tr w:rsidR="002C1EB7" w:rsidRPr="002C1EB7" w:rsidTr="002C1EB7">
        <w:trPr>
          <w:tblCellSpacing w:w="15" w:type="dxa"/>
        </w:trPr>
        <w:tc>
          <w:tcPr>
            <w:tcW w:w="1250" w:type="pct"/>
            <w:hideMark/>
          </w:tcPr>
          <w:p w:rsidR="002C1EB7" w:rsidRPr="002C1EB7" w:rsidRDefault="002C1EB7" w:rsidP="002C1EB7">
            <w:pPr>
              <w:spacing w:after="0" w:line="240" w:lineRule="auto"/>
              <w:jc w:val="right"/>
              <w:rPr>
                <w:rFonts w:ascii="Times New Roman" w:eastAsia="Times New Roman" w:hAnsi="Times New Roman" w:cs="Times New Roman"/>
                <w:b/>
                <w:bCs/>
                <w:sz w:val="24"/>
                <w:szCs w:val="24"/>
                <w:lang w:eastAsia="el-GR"/>
              </w:rPr>
            </w:pPr>
            <w:r w:rsidRPr="002C1EB7">
              <w:rPr>
                <w:rFonts w:ascii="Times New Roman" w:eastAsia="Times New Roman" w:hAnsi="Times New Roman" w:cs="Times New Roman"/>
                <w:b/>
                <w:bCs/>
                <w:sz w:val="24"/>
                <w:szCs w:val="24"/>
                <w:lang w:eastAsia="el-GR"/>
              </w:rPr>
              <w:t xml:space="preserve">Πρόγραμμα χρηματοδότησης : </w:t>
            </w:r>
          </w:p>
        </w:tc>
        <w:tc>
          <w:tcPr>
            <w:tcW w:w="4000" w:type="pct"/>
            <w:shd w:val="clear" w:color="auto" w:fill="FFFFFF"/>
            <w:vAlign w:val="center"/>
            <w:hideMark/>
          </w:tcPr>
          <w:p w:rsidR="002C1EB7" w:rsidRPr="002C1EB7" w:rsidRDefault="002C1EB7" w:rsidP="002C1EB7">
            <w:pPr>
              <w:spacing w:after="0" w:line="240" w:lineRule="auto"/>
              <w:rPr>
                <w:rFonts w:ascii="Times New Roman" w:eastAsia="Times New Roman" w:hAnsi="Times New Roman" w:cs="Times New Roman"/>
                <w:b/>
                <w:bCs/>
                <w:sz w:val="24"/>
                <w:szCs w:val="24"/>
                <w:lang w:eastAsia="el-GR"/>
              </w:rPr>
            </w:pPr>
            <w:hyperlink r:id="rId4" w:history="1">
              <w:r w:rsidRPr="002C1EB7">
                <w:rPr>
                  <w:rFonts w:ascii="Times New Roman" w:eastAsia="Times New Roman" w:hAnsi="Times New Roman" w:cs="Times New Roman"/>
                  <w:b/>
                  <w:bCs/>
                  <w:color w:val="0000FF"/>
                  <w:sz w:val="24"/>
                  <w:szCs w:val="24"/>
                  <w:u w:val="single"/>
                  <w:lang w:eastAsia="el-GR"/>
                </w:rPr>
                <w:t xml:space="preserve">ΟΤΑ Πρόγραμμα Ανάπτυξης και Αλληλεγγύης για την Τοπική Αυτοδιοίκηση «Αντώνης </w:t>
              </w:r>
              <w:proofErr w:type="spellStart"/>
              <w:r w:rsidRPr="002C1EB7">
                <w:rPr>
                  <w:rFonts w:ascii="Times New Roman" w:eastAsia="Times New Roman" w:hAnsi="Times New Roman" w:cs="Times New Roman"/>
                  <w:b/>
                  <w:bCs/>
                  <w:color w:val="0000FF"/>
                  <w:sz w:val="24"/>
                  <w:szCs w:val="24"/>
                  <w:u w:val="single"/>
                  <w:lang w:eastAsia="el-GR"/>
                </w:rPr>
                <w:t>Τρίτσης</w:t>
              </w:r>
              <w:proofErr w:type="spellEnd"/>
              <w:r w:rsidRPr="002C1EB7">
                <w:rPr>
                  <w:rFonts w:ascii="Times New Roman" w:eastAsia="Times New Roman" w:hAnsi="Times New Roman" w:cs="Times New Roman"/>
                  <w:b/>
                  <w:bCs/>
                  <w:color w:val="0000FF"/>
                  <w:sz w:val="24"/>
                  <w:szCs w:val="24"/>
                  <w:u w:val="single"/>
                  <w:lang w:eastAsia="el-GR"/>
                </w:rPr>
                <w:t>»</w:t>
              </w:r>
            </w:hyperlink>
          </w:p>
        </w:tc>
      </w:tr>
    </w:tbl>
    <w:p w:rsidR="002C1EB7" w:rsidRDefault="002C1EB7"/>
    <w:p w:rsidR="002C1EB7" w:rsidRDefault="002C1EB7">
      <w:pPr>
        <w:rPr>
          <w:rStyle w:val="a3"/>
        </w:rPr>
      </w:pPr>
      <w:r>
        <w:rPr>
          <w:rStyle w:val="a3"/>
        </w:rPr>
        <w:t xml:space="preserve">                         </w:t>
      </w:r>
      <w:r w:rsidR="00737B85">
        <w:rPr>
          <w:rStyle w:val="a3"/>
        </w:rPr>
        <w:t>(1)</w:t>
      </w:r>
      <w:r>
        <w:rPr>
          <w:rStyle w:val="a3"/>
        </w:rPr>
        <w:t xml:space="preserve">   Ολοκληρωμένη διαχείριση αστικών λυμάτων πρόσκληση </w:t>
      </w:r>
      <w:r w:rsidR="00B768F7">
        <w:rPr>
          <w:rStyle w:val="a3"/>
        </w:rPr>
        <w:t>ΑΤΟ2</w:t>
      </w:r>
    </w:p>
    <w:p w:rsidR="00B768F7" w:rsidRDefault="00B768F7">
      <w:r>
        <w:t xml:space="preserve">Προβλέπεται η χρηματοδότηση δράσεων που εμπίπτουν στις παρακάτω ομάδες: </w:t>
      </w:r>
      <w:r>
        <w:br/>
        <w:t xml:space="preserve">- Ομάδα Α: Μελέτες, έργα και προμήθειες σε προβληματικές ως προς τη λειτουργία τους / ελλειμματικές υποδομές διαχείρισης λυμάτων οικισμών Α’, Β’ και Γ΄ προτεραιότητας, </w:t>
      </w:r>
      <w:r>
        <w:br/>
        <w:t>- Ομάδα Β: Έργα εσωτερικών δικτύων αποχέτευσης ακαθάρτων και Έργα εγκαταστάσεων επεξεργασίας και διάθεσης λυμάτων (ΕΕΛ) σε Οικισμούς Δ΄ προτεραιότητας δηλ. σε οικισμούς με πληθυσμό αιχμής έως 2.000 ισοδύναμους κατοίκους.</w:t>
      </w:r>
      <w:r>
        <w:br/>
        <w:t xml:space="preserve">- Ομάδα Γ: i. Αναβάθμιση ΗΜ εξοπλισμού υφιστάμενης ΕΕΛ που έχει παρέλθει 20ετία από την έναρξη λειτουργίας ii. Αναβάθμιση υφιστάμενης ΕΕΛ με στόχο την επαναχρησιμοποίηση μέρους ή του συνόλου της εκροής για επωφελείς χρήσεις (άρδευση, πυρόσβεση, εμπλουτισμό υπόγειου </w:t>
      </w:r>
      <w:proofErr w:type="spellStart"/>
      <w:r>
        <w:t>υδροφορέα</w:t>
      </w:r>
      <w:proofErr w:type="spellEnd"/>
      <w:r>
        <w:t xml:space="preserve"> κλπ)</w:t>
      </w:r>
      <w:r>
        <w:br/>
        <w:t>- Οριζόντιες επικουρικές δράσεις για το σύνολο των ανωτέρω Ομάδων</w:t>
      </w:r>
    </w:p>
    <w:tbl>
      <w:tblPr>
        <w:tblW w:w="0" w:type="auto"/>
        <w:tblCellSpacing w:w="15" w:type="dxa"/>
        <w:tblCellMar>
          <w:top w:w="60" w:type="dxa"/>
          <w:left w:w="60" w:type="dxa"/>
          <w:bottom w:w="60" w:type="dxa"/>
          <w:right w:w="60" w:type="dxa"/>
        </w:tblCellMar>
        <w:tblLook w:val="04A0"/>
      </w:tblPr>
      <w:tblGrid>
        <w:gridCol w:w="2670"/>
        <w:gridCol w:w="5816"/>
      </w:tblGrid>
      <w:tr w:rsidR="00B768F7" w:rsidRPr="00B768F7" w:rsidTr="00B768F7">
        <w:trPr>
          <w:tblCellSpacing w:w="15" w:type="dxa"/>
        </w:trPr>
        <w:tc>
          <w:tcPr>
            <w:tcW w:w="0" w:type="auto"/>
            <w:hideMark/>
          </w:tcPr>
          <w:p w:rsidR="00B768F7" w:rsidRPr="00B768F7" w:rsidRDefault="00B768F7" w:rsidP="00B768F7">
            <w:pPr>
              <w:spacing w:after="0" w:line="240" w:lineRule="auto"/>
              <w:jc w:val="right"/>
              <w:rPr>
                <w:rFonts w:ascii="Times New Roman" w:eastAsia="Times New Roman" w:hAnsi="Times New Roman" w:cs="Times New Roman"/>
                <w:b/>
                <w:bCs/>
                <w:sz w:val="24"/>
                <w:szCs w:val="24"/>
                <w:lang w:eastAsia="el-GR"/>
              </w:rPr>
            </w:pPr>
            <w:r w:rsidRPr="00B768F7">
              <w:rPr>
                <w:rFonts w:ascii="Times New Roman" w:eastAsia="Times New Roman" w:hAnsi="Times New Roman" w:cs="Times New Roman"/>
                <w:b/>
                <w:bCs/>
                <w:sz w:val="24"/>
                <w:szCs w:val="24"/>
                <w:lang w:eastAsia="el-GR"/>
              </w:rPr>
              <w:t xml:space="preserve">Προϋπολογισμός πρόσκλησης : </w:t>
            </w:r>
          </w:p>
        </w:tc>
        <w:tc>
          <w:tcPr>
            <w:tcW w:w="0" w:type="auto"/>
            <w:shd w:val="clear" w:color="auto" w:fill="FFFFFF"/>
            <w:vAlign w:val="center"/>
            <w:hideMark/>
          </w:tcPr>
          <w:p w:rsidR="00B768F7" w:rsidRPr="00B768F7" w:rsidRDefault="00B768F7" w:rsidP="00B768F7">
            <w:pPr>
              <w:spacing w:after="0" w:line="240" w:lineRule="auto"/>
              <w:rPr>
                <w:rFonts w:ascii="Times New Roman" w:eastAsia="Times New Roman" w:hAnsi="Times New Roman" w:cs="Times New Roman"/>
                <w:sz w:val="24"/>
                <w:szCs w:val="24"/>
                <w:lang w:eastAsia="el-GR"/>
              </w:rPr>
            </w:pPr>
            <w:r w:rsidRPr="00B768F7">
              <w:rPr>
                <w:rFonts w:ascii="Times New Roman" w:eastAsia="Times New Roman" w:hAnsi="Times New Roman" w:cs="Times New Roman"/>
                <w:sz w:val="24"/>
                <w:szCs w:val="24"/>
                <w:lang w:eastAsia="el-GR"/>
              </w:rPr>
              <w:t>200.000.000 ευρώ (€). (Ομάδα Α: 50.000.000 €, Ομάδα Β: 100.000.000 €, Ομάδα Γ: 50.000.000 €)</w:t>
            </w:r>
          </w:p>
        </w:tc>
      </w:tr>
    </w:tbl>
    <w:p w:rsidR="00B768F7" w:rsidRDefault="00B768F7"/>
    <w:p w:rsidR="00B768F7" w:rsidRDefault="00B768F7">
      <w:r>
        <w:t>Έναρξη: 28/08/2020  Λήξη: 31/12/2020</w:t>
      </w:r>
    </w:p>
    <w:p w:rsidR="00737B85" w:rsidRDefault="00737B85"/>
    <w:p w:rsidR="00737B85" w:rsidRDefault="00737B85">
      <w:r>
        <w:rPr>
          <w:rStyle w:val="a3"/>
        </w:rPr>
        <w:lastRenderedPageBreak/>
        <w:t>(2) Παρεμβάσεις και δράσεις βελτίωσης της διαχείρισης ενέργειας και αξιοποίηση Ανανεώσιμων Πηγών Ενέργειας στις υποδομές διαχείρισης υδάτων και λυμάτων πρόσκληση ΑΤ03</w:t>
      </w:r>
    </w:p>
    <w:p w:rsidR="00737B85" w:rsidRDefault="00737B85">
      <w:pPr>
        <w:rPr>
          <w:rStyle w:val="a3"/>
        </w:rPr>
      </w:pPr>
      <w:r>
        <w:t xml:space="preserve">  Προβλέπεται η χρηματοδότηση έργων που αφορούν στις παρακάτω δράσεις: </w:t>
      </w:r>
      <w:r>
        <w:br/>
        <w:t xml:space="preserve">- Παρεμβάσεις και δράσεις βελτίωσης της ενεργειακής απόδοσης, εξοικονόμησης ενέργειας στις </w:t>
      </w:r>
      <w:proofErr w:type="spellStart"/>
      <w:r>
        <w:t>ενεργοβόρες</w:t>
      </w:r>
      <w:proofErr w:type="spellEnd"/>
      <w:r>
        <w:t xml:space="preserve"> υποδομές ύδρευσης και λυμάτων </w:t>
      </w:r>
      <w:r>
        <w:br/>
        <w:t xml:space="preserve">- Αξιοποίηση Ανανεώσιμων Πηγών Ενέργειας (ΑΠΕ) και έξυπνα συστήματα διανομής - αποθήκευσης - κατανάλωσης ενέργειας </w:t>
      </w:r>
      <w:r>
        <w:br/>
        <w:t xml:space="preserve">- Προμήθεια και εγκατάσταση ευφυών συστημάτων διαχείρισης ενέργειας σε υφιστάμενα δίκτυα λυμάτων και πόσιμου νερού, και εγκαταστάσεις επεξεργασίας. Ενδεικτικές δράσεις αποτελούν η εγκατάσταση μετρητών κατανάλωσης ενέργειας στις </w:t>
      </w:r>
      <w:proofErr w:type="spellStart"/>
      <w:r>
        <w:t>ενεργοβόρες</w:t>
      </w:r>
      <w:proofErr w:type="spellEnd"/>
      <w:r>
        <w:t xml:space="preserve"> υποδομές/εξοπλισμούς και συσχέτιση αυτών με ποσοτικές και ποιοτικές </w:t>
      </w:r>
      <w:r>
        <w:br/>
        <w:t>- Μελέτες Ωρίμανσης &amp; Τευχών Δημοπράτησης των ανωτέρω δράσεων, οι οποίες θα μπορέσουν να χρηματοδοτηθούν εφόσον τα έργα/δράσεις που προκύπτουν από αυτές είναι επιλέξιμα. Οι Μελέτες πρέπει να είναι ολοκληρωμένες και εγκεκριμένες κατά την ημερομηνία υποβολής της πρότασης</w:t>
      </w:r>
      <w:r>
        <w:br/>
        <w:t>- Οριζόντιες επικουρικές δράσεις για το σύνολο των ανωτέρω δράσεων (Ευφυείς εφαρμογές/δράσεις/συστήματα, απόκτηση εδαφικής έκτασης, Έργα Οργανισμών Κοινής Ωφέλειας (ΟΚΩ), Αρχαιολογικές εργασίες κλπ.)</w:t>
      </w:r>
    </w:p>
    <w:tbl>
      <w:tblPr>
        <w:tblW w:w="0" w:type="auto"/>
        <w:tblCellSpacing w:w="15" w:type="dxa"/>
        <w:tblCellMar>
          <w:top w:w="60" w:type="dxa"/>
          <w:left w:w="60" w:type="dxa"/>
          <w:bottom w:w="60" w:type="dxa"/>
          <w:right w:w="60" w:type="dxa"/>
        </w:tblCellMar>
        <w:tblLook w:val="04A0"/>
      </w:tblPr>
      <w:tblGrid>
        <w:gridCol w:w="3355"/>
        <w:gridCol w:w="2563"/>
      </w:tblGrid>
      <w:tr w:rsidR="00737B85" w:rsidRPr="00737B85" w:rsidTr="00737B85">
        <w:trPr>
          <w:tblCellSpacing w:w="15" w:type="dxa"/>
        </w:trPr>
        <w:tc>
          <w:tcPr>
            <w:tcW w:w="0" w:type="auto"/>
            <w:hideMark/>
          </w:tcPr>
          <w:p w:rsidR="00737B85" w:rsidRPr="00737B85" w:rsidRDefault="00737B85" w:rsidP="00737B85">
            <w:pPr>
              <w:spacing w:after="0" w:line="240" w:lineRule="auto"/>
              <w:jc w:val="right"/>
              <w:rPr>
                <w:rFonts w:ascii="Times New Roman" w:eastAsia="Times New Roman" w:hAnsi="Times New Roman" w:cs="Times New Roman"/>
                <w:b/>
                <w:bCs/>
                <w:sz w:val="24"/>
                <w:szCs w:val="24"/>
                <w:lang w:eastAsia="el-GR"/>
              </w:rPr>
            </w:pPr>
            <w:r w:rsidRPr="00737B85">
              <w:rPr>
                <w:rFonts w:ascii="Times New Roman" w:eastAsia="Times New Roman" w:hAnsi="Times New Roman" w:cs="Times New Roman"/>
                <w:b/>
                <w:bCs/>
                <w:sz w:val="24"/>
                <w:szCs w:val="24"/>
                <w:lang w:eastAsia="el-GR"/>
              </w:rPr>
              <w:t xml:space="preserve">Προϋπολογισμός πρόσκλησης : </w:t>
            </w:r>
          </w:p>
        </w:tc>
        <w:tc>
          <w:tcPr>
            <w:tcW w:w="0" w:type="auto"/>
            <w:shd w:val="clear" w:color="auto" w:fill="FFFFFF"/>
            <w:vAlign w:val="center"/>
            <w:hideMark/>
          </w:tcPr>
          <w:p w:rsidR="00737B85" w:rsidRPr="00737B85" w:rsidRDefault="00737B85" w:rsidP="00737B85">
            <w:pPr>
              <w:spacing w:after="0" w:line="240" w:lineRule="auto"/>
              <w:rPr>
                <w:rFonts w:ascii="Times New Roman" w:eastAsia="Times New Roman" w:hAnsi="Times New Roman" w:cs="Times New Roman"/>
                <w:sz w:val="24"/>
                <w:szCs w:val="24"/>
                <w:lang w:eastAsia="el-GR"/>
              </w:rPr>
            </w:pPr>
            <w:r w:rsidRPr="00737B85">
              <w:rPr>
                <w:rFonts w:ascii="Times New Roman" w:eastAsia="Times New Roman" w:hAnsi="Times New Roman" w:cs="Times New Roman"/>
                <w:sz w:val="24"/>
                <w:szCs w:val="24"/>
                <w:lang w:eastAsia="el-GR"/>
              </w:rPr>
              <w:t>150.000.000,00 ευρώ(€).</w:t>
            </w:r>
          </w:p>
        </w:tc>
      </w:tr>
    </w:tbl>
    <w:p w:rsidR="002C1EB7" w:rsidRDefault="002C1EB7"/>
    <w:p w:rsidR="00737B85" w:rsidRDefault="00737B85">
      <w:r>
        <w:t>Έναρξη: 24/07/2020  Λήξη: 31/12/2020</w:t>
      </w:r>
    </w:p>
    <w:p w:rsidR="008863C6" w:rsidRDefault="008863C6"/>
    <w:tbl>
      <w:tblPr>
        <w:tblW w:w="0" w:type="auto"/>
        <w:tblCellSpacing w:w="15" w:type="dxa"/>
        <w:tblCellMar>
          <w:top w:w="60" w:type="dxa"/>
          <w:left w:w="60" w:type="dxa"/>
          <w:bottom w:w="60" w:type="dxa"/>
          <w:right w:w="60" w:type="dxa"/>
        </w:tblCellMar>
        <w:tblLook w:val="04A0"/>
      </w:tblPr>
      <w:tblGrid>
        <w:gridCol w:w="2144"/>
        <w:gridCol w:w="6342"/>
      </w:tblGrid>
      <w:tr w:rsidR="008863C6" w:rsidRPr="008863C6" w:rsidTr="008863C6">
        <w:trPr>
          <w:tblCellSpacing w:w="15" w:type="dxa"/>
        </w:trPr>
        <w:tc>
          <w:tcPr>
            <w:tcW w:w="1250" w:type="pct"/>
            <w:hideMark/>
          </w:tcPr>
          <w:p w:rsidR="008863C6" w:rsidRPr="008863C6" w:rsidRDefault="008863C6" w:rsidP="008863C6">
            <w:pPr>
              <w:spacing w:after="0" w:line="240" w:lineRule="auto"/>
              <w:jc w:val="right"/>
              <w:rPr>
                <w:rFonts w:ascii="Times New Roman" w:eastAsia="Times New Roman" w:hAnsi="Times New Roman" w:cs="Times New Roman"/>
                <w:b/>
                <w:bCs/>
                <w:sz w:val="24"/>
                <w:szCs w:val="24"/>
                <w:lang w:eastAsia="el-GR"/>
              </w:rPr>
            </w:pPr>
            <w:r w:rsidRPr="008863C6">
              <w:rPr>
                <w:rFonts w:ascii="Times New Roman" w:eastAsia="Times New Roman" w:hAnsi="Times New Roman" w:cs="Times New Roman"/>
                <w:b/>
                <w:bCs/>
                <w:sz w:val="24"/>
                <w:szCs w:val="24"/>
                <w:lang w:eastAsia="el-GR"/>
              </w:rPr>
              <w:t xml:space="preserve">Πρόγραμμα χρηματοδότησης : </w:t>
            </w:r>
          </w:p>
        </w:tc>
        <w:tc>
          <w:tcPr>
            <w:tcW w:w="4000" w:type="pct"/>
            <w:shd w:val="clear" w:color="auto" w:fill="FFFFFF"/>
            <w:vAlign w:val="center"/>
            <w:hideMark/>
          </w:tcPr>
          <w:p w:rsidR="008863C6" w:rsidRPr="008863C6" w:rsidRDefault="008863C6" w:rsidP="008863C6">
            <w:pPr>
              <w:spacing w:after="0" w:line="240" w:lineRule="auto"/>
              <w:rPr>
                <w:rFonts w:ascii="Times New Roman" w:eastAsia="Times New Roman" w:hAnsi="Times New Roman" w:cs="Times New Roman"/>
                <w:b/>
                <w:bCs/>
                <w:sz w:val="24"/>
                <w:szCs w:val="24"/>
                <w:lang w:eastAsia="el-GR"/>
              </w:rPr>
            </w:pPr>
            <w:hyperlink r:id="rId5" w:history="1">
              <w:r w:rsidRPr="008863C6">
                <w:rPr>
                  <w:rFonts w:ascii="Times New Roman" w:eastAsia="Times New Roman" w:hAnsi="Times New Roman" w:cs="Times New Roman"/>
                  <w:b/>
                  <w:bCs/>
                  <w:color w:val="0000FF"/>
                  <w:sz w:val="24"/>
                  <w:szCs w:val="24"/>
                  <w:u w:val="single"/>
                  <w:lang w:eastAsia="el-GR"/>
                </w:rPr>
                <w:t>ΕΠ ΥΜΕΠΕΡΑΑ: Επιχειρησιακό Πρόγραμμα Υποδομές Μεταφορών, Περιβάλλον και Αειφόρος Ανάπτυξη</w:t>
              </w:r>
            </w:hyperlink>
          </w:p>
        </w:tc>
      </w:tr>
    </w:tbl>
    <w:p w:rsidR="008863C6" w:rsidRDefault="008863C6"/>
    <w:p w:rsidR="008863C6" w:rsidRDefault="008863C6">
      <w:pPr>
        <w:rPr>
          <w:rStyle w:val="a3"/>
        </w:rPr>
      </w:pPr>
      <w:r>
        <w:rPr>
          <w:rStyle w:val="a3"/>
        </w:rPr>
        <w:t>Παρεμβάσεις αναβάθμισης και εκσυγχρονισμού του κτιριακού αποθέματος, αρχιτεκτονικής αξίας και πολιτιστικού ενδιαφέροντος, που βρίσκεται σε σημαντική θέση σε σχέση με πλέγμα διαδρομών ιστορικού, περιβαλλοντικού ή πολιτιστικού χαρακτήρα</w:t>
      </w:r>
      <w:r w:rsidR="00F0567E">
        <w:rPr>
          <w:rStyle w:val="a3"/>
        </w:rPr>
        <w:t xml:space="preserve"> πρόσκληση 4319.</w:t>
      </w:r>
    </w:p>
    <w:p w:rsidR="00F0567E" w:rsidRDefault="00F0567E">
      <w:r>
        <w:t>Χρηματοδοτούμενες δράσεις:</w:t>
      </w:r>
      <w:r>
        <w:br/>
        <w:t>- παρεμβάσεις αναβάθμισης και εκσυγχρονισμού σε κτίρια του δικαιούχου</w:t>
      </w:r>
      <w:r>
        <w:br/>
        <w:t>- δράσεις εξοικονόμησης ενέργειας στα υφιστάμενα κτίρια με στόχο την εξοικονόμηση ενέργειας, την μείωση της ατμοσφαιρικής ρύπανσης και μείωση των εκπομπών των αερίων που προκαλούν την κλιματική αλλαγή</w:t>
      </w:r>
      <w:r>
        <w:br/>
        <w:t>- Συμβουλευτικές Υπηρεσίες για την υλοποίηση της Πράξης καθώς και Εργασίες αρχαιολογίας, ως υποέργο με δικαιούχο εταίρο την οικεία Εφορεία του Υπουργείου Πολιτισμού.</w:t>
      </w:r>
    </w:p>
    <w:tbl>
      <w:tblPr>
        <w:tblW w:w="0" w:type="auto"/>
        <w:tblCellSpacing w:w="15" w:type="dxa"/>
        <w:tblCellMar>
          <w:top w:w="60" w:type="dxa"/>
          <w:left w:w="60" w:type="dxa"/>
          <w:bottom w:w="60" w:type="dxa"/>
          <w:right w:w="60" w:type="dxa"/>
        </w:tblCellMar>
        <w:tblLook w:val="04A0"/>
      </w:tblPr>
      <w:tblGrid>
        <w:gridCol w:w="3355"/>
        <w:gridCol w:w="1725"/>
      </w:tblGrid>
      <w:tr w:rsidR="00F0567E" w:rsidRPr="00F0567E" w:rsidTr="00F0567E">
        <w:trPr>
          <w:tblCellSpacing w:w="15" w:type="dxa"/>
        </w:trPr>
        <w:tc>
          <w:tcPr>
            <w:tcW w:w="0" w:type="auto"/>
            <w:hideMark/>
          </w:tcPr>
          <w:p w:rsidR="00F0567E" w:rsidRPr="00F0567E" w:rsidRDefault="00F0567E" w:rsidP="00F0567E">
            <w:pPr>
              <w:spacing w:after="0" w:line="240" w:lineRule="auto"/>
              <w:jc w:val="right"/>
              <w:rPr>
                <w:rFonts w:ascii="Times New Roman" w:eastAsia="Times New Roman" w:hAnsi="Times New Roman" w:cs="Times New Roman"/>
                <w:b/>
                <w:bCs/>
                <w:sz w:val="24"/>
                <w:szCs w:val="24"/>
                <w:lang w:eastAsia="el-GR"/>
              </w:rPr>
            </w:pPr>
            <w:r w:rsidRPr="00F0567E">
              <w:rPr>
                <w:rFonts w:ascii="Times New Roman" w:eastAsia="Times New Roman" w:hAnsi="Times New Roman" w:cs="Times New Roman"/>
                <w:b/>
                <w:bCs/>
                <w:sz w:val="24"/>
                <w:szCs w:val="24"/>
                <w:lang w:eastAsia="el-GR"/>
              </w:rPr>
              <w:lastRenderedPageBreak/>
              <w:t xml:space="preserve">Προϋπολογισμός πρόσκλησης : </w:t>
            </w:r>
          </w:p>
        </w:tc>
        <w:tc>
          <w:tcPr>
            <w:tcW w:w="0" w:type="auto"/>
            <w:shd w:val="clear" w:color="auto" w:fill="FFFFFF"/>
            <w:vAlign w:val="center"/>
            <w:hideMark/>
          </w:tcPr>
          <w:p w:rsidR="00F0567E" w:rsidRPr="00F0567E" w:rsidRDefault="00F0567E" w:rsidP="00F0567E">
            <w:pPr>
              <w:spacing w:after="0" w:line="240" w:lineRule="auto"/>
              <w:rPr>
                <w:rFonts w:ascii="Times New Roman" w:eastAsia="Times New Roman" w:hAnsi="Times New Roman" w:cs="Times New Roman"/>
                <w:sz w:val="24"/>
                <w:szCs w:val="24"/>
                <w:lang w:eastAsia="el-GR"/>
              </w:rPr>
            </w:pPr>
            <w:r w:rsidRPr="00F0567E">
              <w:rPr>
                <w:rFonts w:ascii="Times New Roman" w:eastAsia="Times New Roman" w:hAnsi="Times New Roman" w:cs="Times New Roman"/>
                <w:sz w:val="24"/>
                <w:szCs w:val="24"/>
                <w:lang w:eastAsia="el-GR"/>
              </w:rPr>
              <w:t>15.000.000,00 €</w:t>
            </w:r>
          </w:p>
        </w:tc>
      </w:tr>
    </w:tbl>
    <w:p w:rsidR="00F0567E" w:rsidRDefault="00F0567E"/>
    <w:p w:rsidR="00F0567E" w:rsidRDefault="00F0567E">
      <w:r>
        <w:t>Έναρξη: 01/07/2020  Λήξη: 01/03/2021</w:t>
      </w:r>
    </w:p>
    <w:p w:rsidR="00F971CD" w:rsidRDefault="00F971CD"/>
    <w:p w:rsidR="00F971CD" w:rsidRPr="00F971CD" w:rsidRDefault="00F971CD">
      <w:pPr>
        <w:rPr>
          <w:rStyle w:val="title"/>
          <w:b/>
        </w:rPr>
      </w:pPr>
      <w:r w:rsidRPr="00F971CD">
        <w:rPr>
          <w:rStyle w:val="title"/>
          <w:b/>
        </w:rPr>
        <w:t xml:space="preserve">ΠΡΟΣΚΛΗΣΗ </w:t>
      </w:r>
      <w:proofErr w:type="spellStart"/>
      <w:r w:rsidRPr="00F971CD">
        <w:rPr>
          <w:rStyle w:val="title"/>
          <w:b/>
        </w:rPr>
        <w:t>ΕΠΑνΕΚ</w:t>
      </w:r>
      <w:proofErr w:type="spellEnd"/>
      <w:r w:rsidRPr="00F971CD">
        <w:rPr>
          <w:rStyle w:val="title"/>
          <w:b/>
        </w:rPr>
        <w:t xml:space="preserve">: Δημιουργία Ολοκληρωμένων Τουριστικών </w:t>
      </w:r>
      <w:proofErr w:type="spellStart"/>
      <w:r w:rsidRPr="00F971CD">
        <w:rPr>
          <w:rStyle w:val="title"/>
          <w:b/>
        </w:rPr>
        <w:t>Προσβάσιμων</w:t>
      </w:r>
      <w:proofErr w:type="spellEnd"/>
      <w:r w:rsidRPr="00F971CD">
        <w:rPr>
          <w:rStyle w:val="title"/>
          <w:b/>
        </w:rPr>
        <w:t xml:space="preserve"> Θαλάσσιων Προορισμών</w:t>
      </w:r>
    </w:p>
    <w:p w:rsidR="00F971CD" w:rsidRPr="00F971CD" w:rsidRDefault="00F971CD" w:rsidP="00F971CD">
      <w:pPr>
        <w:pStyle w:val="Web"/>
        <w:rPr>
          <w:rFonts w:asciiTheme="minorHAnsi" w:hAnsiTheme="minorHAnsi"/>
          <w:sz w:val="22"/>
          <w:szCs w:val="22"/>
        </w:rPr>
      </w:pPr>
      <w:r w:rsidRPr="00F971CD">
        <w:rPr>
          <w:rFonts w:asciiTheme="minorHAnsi" w:hAnsiTheme="minorHAnsi"/>
          <w:sz w:val="22"/>
          <w:szCs w:val="22"/>
        </w:rPr>
        <w:t xml:space="preserve">Χρηματοδοτείται η δημιουργία των κατάλληλων ελαφρών, μη μόνιμων υποδομών (εγκαταστάσεων και προσβάσεων) στον ευρύτερο χώρο των παραλιών κολύμβησης, όσο και στον χώρο κολύμβησης, για την εξυπηρέτηση </w:t>
      </w:r>
      <w:proofErr w:type="spellStart"/>
      <w:r w:rsidRPr="00F971CD">
        <w:rPr>
          <w:rFonts w:asciiTheme="minorHAnsi" w:hAnsiTheme="minorHAnsi"/>
          <w:sz w:val="22"/>
          <w:szCs w:val="22"/>
        </w:rPr>
        <w:t>ΑμΕΑ</w:t>
      </w:r>
      <w:proofErr w:type="spellEnd"/>
      <w:r w:rsidRPr="00F971CD">
        <w:rPr>
          <w:rFonts w:asciiTheme="minorHAnsi" w:hAnsiTheme="minorHAnsi"/>
          <w:sz w:val="22"/>
          <w:szCs w:val="22"/>
        </w:rPr>
        <w:t xml:space="preserve"> και άλλων κατηγοριών ατόμων με περιορισμένη κινητικότητα, σύμφωνα με τις ισχύουσες προδιαγραφές σχεδιασμού και κατασκευής.  Επιλέξιμες είναι οι δαπάνες όπως λυόμενα αποδυτήρια, φορητοί χώροι υγιεινής, διάδρομοι αποτελούμενοι από τμήματα κατάλληλου μήκους για εύκολη μεταφορά και αποθήκευση τη χειμερινή περίοδο, χώροι σκίασης/προστασίας των λουόμενων κ.ά. </w:t>
      </w:r>
    </w:p>
    <w:p w:rsidR="00F971CD" w:rsidRPr="00F971CD" w:rsidRDefault="00F971CD" w:rsidP="00F971CD">
      <w:pPr>
        <w:pStyle w:val="Web"/>
        <w:rPr>
          <w:rFonts w:asciiTheme="minorHAnsi" w:hAnsiTheme="minorHAnsi"/>
          <w:sz w:val="22"/>
          <w:szCs w:val="22"/>
        </w:rPr>
      </w:pPr>
      <w:r w:rsidRPr="00F971CD">
        <w:rPr>
          <w:rFonts w:asciiTheme="minorHAnsi" w:hAnsiTheme="minorHAnsi"/>
          <w:sz w:val="22"/>
          <w:szCs w:val="22"/>
        </w:rPr>
        <w:t xml:space="preserve">Κάθε δυνητικός δικαιούχος μπορεί να υποβάλει μία και μοναδική αίτηση χρηματοδότησης. Στην εδαφική εμβέλεια κάθε </w:t>
      </w:r>
      <w:proofErr w:type="spellStart"/>
      <w:r w:rsidRPr="00F971CD">
        <w:rPr>
          <w:rFonts w:asciiTheme="minorHAnsi" w:hAnsiTheme="minorHAnsi"/>
          <w:sz w:val="22"/>
          <w:szCs w:val="22"/>
        </w:rPr>
        <w:t>αυτοδιοικητικής</w:t>
      </w:r>
      <w:proofErr w:type="spellEnd"/>
      <w:r w:rsidRPr="00F971CD">
        <w:rPr>
          <w:rFonts w:asciiTheme="minorHAnsi" w:hAnsiTheme="minorHAnsi"/>
          <w:sz w:val="22"/>
          <w:szCs w:val="22"/>
        </w:rPr>
        <w:t xml:space="preserve"> μονάδας δύνανται να προταθούν για υλοποίηση παρεμβάσεις σε μέχρι τέσσερις (4) διαφορετικές περιοχές παρέμβασης/παραλίες. </w:t>
      </w:r>
    </w:p>
    <w:p w:rsidR="00F971CD" w:rsidRPr="00F971CD" w:rsidRDefault="00F971CD" w:rsidP="00F971CD">
      <w:pPr>
        <w:pStyle w:val="Web"/>
        <w:rPr>
          <w:rFonts w:asciiTheme="minorHAnsi" w:hAnsiTheme="minorHAnsi"/>
          <w:sz w:val="22"/>
          <w:szCs w:val="22"/>
        </w:rPr>
      </w:pPr>
      <w:r w:rsidRPr="00F971CD">
        <w:rPr>
          <w:rFonts w:asciiTheme="minorHAnsi" w:hAnsiTheme="minorHAnsi"/>
          <w:sz w:val="22"/>
          <w:szCs w:val="22"/>
        </w:rPr>
        <w:t>Συνολικός Π/Υ Πρόσκλησης: 15.000.000 ευρώ</w:t>
      </w:r>
    </w:p>
    <w:p w:rsidR="00F971CD" w:rsidRPr="00F971CD" w:rsidRDefault="00F971CD" w:rsidP="00F971CD">
      <w:pPr>
        <w:pStyle w:val="Web"/>
        <w:rPr>
          <w:rFonts w:asciiTheme="minorHAnsi" w:hAnsiTheme="minorHAnsi"/>
          <w:sz w:val="22"/>
          <w:szCs w:val="22"/>
        </w:rPr>
      </w:pPr>
      <w:r w:rsidRPr="00F971CD">
        <w:rPr>
          <w:rFonts w:asciiTheme="minorHAnsi" w:hAnsiTheme="minorHAnsi"/>
          <w:sz w:val="22"/>
          <w:szCs w:val="22"/>
        </w:rPr>
        <w:t>Ο μέγιστος επιτρεπόμενος Π/Υ για κάθε σημείο παρέμβασης/παραλία δεν δύναται να ξεπερνά το ποσό των 60.000 ευρώ</w:t>
      </w:r>
    </w:p>
    <w:p w:rsidR="00F971CD" w:rsidRPr="00F971CD" w:rsidRDefault="00F971CD" w:rsidP="00F971CD">
      <w:pPr>
        <w:pStyle w:val="Web"/>
        <w:rPr>
          <w:rFonts w:asciiTheme="minorHAnsi" w:hAnsiTheme="minorHAnsi"/>
          <w:sz w:val="22"/>
          <w:szCs w:val="22"/>
        </w:rPr>
      </w:pPr>
      <w:r w:rsidRPr="00F971CD">
        <w:rPr>
          <w:rStyle w:val="a3"/>
          <w:rFonts w:asciiTheme="minorHAnsi" w:hAnsiTheme="minorHAnsi"/>
          <w:sz w:val="22"/>
          <w:szCs w:val="22"/>
        </w:rPr>
        <w:t>Έναρξη υποβολών: 15 Ιανουαρίου 2018 και ώρα 14.00</w:t>
      </w:r>
    </w:p>
    <w:p w:rsidR="00F971CD" w:rsidRDefault="00F971CD" w:rsidP="00F971CD">
      <w:pPr>
        <w:pStyle w:val="Web"/>
        <w:rPr>
          <w:rStyle w:val="a3"/>
          <w:rFonts w:asciiTheme="minorHAnsi" w:hAnsiTheme="minorHAnsi"/>
          <w:sz w:val="22"/>
          <w:szCs w:val="22"/>
        </w:rPr>
      </w:pPr>
      <w:r w:rsidRPr="00F971CD">
        <w:rPr>
          <w:rStyle w:val="a3"/>
          <w:rFonts w:asciiTheme="minorHAnsi" w:hAnsiTheme="minorHAnsi"/>
          <w:sz w:val="22"/>
          <w:szCs w:val="22"/>
        </w:rPr>
        <w:t>Λήξη υποβολών: 31 Δεκεμβρίου 2020 και ώρα 23.59</w:t>
      </w:r>
    </w:p>
    <w:p w:rsidR="00B63057" w:rsidRDefault="00B63057" w:rsidP="00F971CD">
      <w:pPr>
        <w:pStyle w:val="Web"/>
        <w:rPr>
          <w:rStyle w:val="a3"/>
          <w:rFonts w:asciiTheme="minorHAnsi" w:hAnsiTheme="minorHAnsi"/>
          <w:sz w:val="22"/>
          <w:szCs w:val="22"/>
        </w:rPr>
      </w:pPr>
    </w:p>
    <w:p w:rsidR="00B63057" w:rsidRDefault="00B63057" w:rsidP="00F971CD">
      <w:pPr>
        <w:pStyle w:val="Web"/>
        <w:rPr>
          <w:rFonts w:asciiTheme="minorHAnsi" w:hAnsiTheme="minorHAnsi" w:cs="Arial"/>
          <w:b/>
          <w:sz w:val="28"/>
          <w:szCs w:val="28"/>
        </w:rPr>
      </w:pPr>
      <w:r w:rsidRPr="00B63057">
        <w:rPr>
          <w:rFonts w:asciiTheme="minorHAnsi" w:hAnsiTheme="minorHAnsi" w:cs="Arial"/>
          <w:b/>
          <w:sz w:val="28"/>
          <w:szCs w:val="28"/>
        </w:rPr>
        <w:t>ΠΡΟΣΚΛΗΣΗ ΥΠΟΒΟΛΗΣ ΠΡΟΤΑΣΕΩΝΣΤΟΝ ΑΞΟΝΑ ΠΡΟΤΕΡΑΙΟΤΗΤΑΣ 1 (Α.Π.1) «ΑΣΤΙΚΗ ΑΝΑΖΩΟΓΟΝΗΣΗ»ΤΟΥ ΧΡΗΜΑΤΟΔΟΤΙΚΟΥ ΠΡΟΓΡΑΜΜΑΤΟΣ:«ΔΡΑΣΕΙΣ ΠΕΡΙΒΑΛΛΟΝΤΙΚΟΥ ΙΣΟΖΥΓΙΟΥ»2020</w:t>
      </w:r>
    </w:p>
    <w:p w:rsidR="002821BD" w:rsidRPr="002821BD" w:rsidRDefault="002821BD" w:rsidP="00F971CD">
      <w:pPr>
        <w:pStyle w:val="Web"/>
        <w:rPr>
          <w:rFonts w:asciiTheme="minorHAnsi" w:hAnsiTheme="minorHAnsi"/>
          <w:b/>
        </w:rPr>
      </w:pPr>
      <w:r>
        <w:rPr>
          <w:rFonts w:asciiTheme="minorHAnsi" w:hAnsiTheme="minorHAnsi" w:cs="Arial"/>
          <w:b/>
          <w:sz w:val="28"/>
          <w:szCs w:val="28"/>
        </w:rPr>
        <w:t xml:space="preserve">                                      </w:t>
      </w:r>
      <w:r w:rsidRPr="002821BD">
        <w:rPr>
          <w:rFonts w:asciiTheme="minorHAnsi" w:hAnsiTheme="minorHAnsi" w:cs="Arial"/>
          <w:b/>
        </w:rPr>
        <w:t>ΠΡΑΣΙΝΟ ΤΑΜΕΙΟ</w:t>
      </w:r>
    </w:p>
    <w:p w:rsidR="00B63057" w:rsidRDefault="00B63057" w:rsidP="00B63057">
      <w:pPr>
        <w:spacing w:after="0"/>
        <w:rPr>
          <w:rFonts w:ascii="Arial" w:eastAsia="Times New Roman" w:hAnsi="Arial" w:cs="Arial"/>
          <w:sz w:val="20"/>
          <w:szCs w:val="20"/>
          <w:lang w:eastAsia="el-GR"/>
        </w:rPr>
      </w:pPr>
      <w:r>
        <w:rPr>
          <w:rFonts w:ascii="Arial" w:eastAsia="Times New Roman" w:hAnsi="Arial" w:cs="Arial"/>
          <w:sz w:val="20"/>
          <w:szCs w:val="20"/>
          <w:lang w:eastAsia="el-GR"/>
        </w:rPr>
        <w:t xml:space="preserve">Αφορά </w:t>
      </w:r>
      <w:r w:rsidRPr="00B63057">
        <w:rPr>
          <w:rFonts w:ascii="Arial" w:eastAsia="Times New Roman" w:hAnsi="Arial" w:cs="Arial"/>
          <w:sz w:val="20"/>
          <w:szCs w:val="20"/>
          <w:lang w:eastAsia="el-GR"/>
        </w:rPr>
        <w:t xml:space="preserve"> Δ</w:t>
      </w:r>
      <w:r w:rsidRPr="00B63057">
        <w:rPr>
          <w:rFonts w:ascii="Arial" w:eastAsia="Times New Roman" w:hAnsi="Arial" w:cs="Arial"/>
          <w:b/>
          <w:bCs/>
          <w:sz w:val="20"/>
          <w:szCs w:val="20"/>
          <w:lang w:eastAsia="el-GR"/>
        </w:rPr>
        <w:t>ή</w:t>
      </w:r>
      <w:r w:rsidRPr="00B63057">
        <w:rPr>
          <w:rFonts w:ascii="Arial" w:eastAsia="Times New Roman" w:hAnsi="Arial" w:cs="Arial"/>
          <w:sz w:val="20"/>
          <w:szCs w:val="20"/>
          <w:lang w:eastAsia="el-GR"/>
        </w:rPr>
        <w:t>μους της χώρας που δεν υπέβαλαν πρόταση στην Α ́ Πρόσκληση καθώς και τους Συνδέσμους της αντίστοιχης χωρικής επικράτειας, να υποβάλλουν προτάσεις.</w:t>
      </w:r>
    </w:p>
    <w:p w:rsidR="00B63057" w:rsidRPr="00B63057" w:rsidRDefault="00B63057" w:rsidP="00B63057">
      <w:pPr>
        <w:spacing w:after="0"/>
        <w:rPr>
          <w:rFonts w:ascii="Times New Roman" w:eastAsia="Times New Roman" w:hAnsi="Times New Roman" w:cs="Times New Roman"/>
          <w:sz w:val="24"/>
          <w:szCs w:val="24"/>
          <w:lang w:eastAsia="el-GR"/>
        </w:rPr>
      </w:pPr>
    </w:p>
    <w:p w:rsidR="00B63057" w:rsidRDefault="00B63057" w:rsidP="00B63057">
      <w:pPr>
        <w:spacing w:after="0"/>
        <w:rPr>
          <w:rFonts w:ascii="Arial" w:eastAsia="Times New Roman" w:hAnsi="Arial" w:cs="Arial"/>
          <w:sz w:val="20"/>
          <w:szCs w:val="20"/>
          <w:lang w:eastAsia="el-GR"/>
        </w:rPr>
      </w:pPr>
      <w:r w:rsidRPr="00B63057">
        <w:rPr>
          <w:rFonts w:ascii="Arial" w:eastAsia="Times New Roman" w:hAnsi="Arial" w:cs="Arial"/>
          <w:b/>
          <w:sz w:val="20"/>
          <w:szCs w:val="20"/>
          <w:lang w:eastAsia="el-GR"/>
        </w:rPr>
        <w:t>Μέτρο 1.</w:t>
      </w:r>
      <w:r w:rsidRPr="00B63057">
        <w:rPr>
          <w:rFonts w:ascii="Arial" w:eastAsia="Times New Roman" w:hAnsi="Arial" w:cs="Arial"/>
          <w:sz w:val="20"/>
          <w:szCs w:val="20"/>
          <w:lang w:eastAsia="el-GR"/>
        </w:rPr>
        <w:t xml:space="preserve"> Σύνθετες αστικές αναπλάσεις</w:t>
      </w:r>
      <w:r>
        <w:rPr>
          <w:rFonts w:ascii="Arial" w:eastAsia="Times New Roman" w:hAnsi="Arial" w:cs="Arial"/>
          <w:sz w:val="20"/>
          <w:szCs w:val="20"/>
          <w:lang w:eastAsia="el-GR"/>
        </w:rPr>
        <w:t xml:space="preserve"> </w:t>
      </w:r>
    </w:p>
    <w:p w:rsidR="00B63057" w:rsidRDefault="00B63057" w:rsidP="00B63057">
      <w:pPr>
        <w:spacing w:after="0"/>
        <w:rPr>
          <w:rFonts w:ascii="Arial" w:eastAsia="Times New Roman" w:hAnsi="Arial" w:cs="Arial"/>
          <w:sz w:val="20"/>
          <w:szCs w:val="20"/>
          <w:lang w:eastAsia="el-GR"/>
        </w:rPr>
      </w:pPr>
      <w:r w:rsidRPr="00B63057">
        <w:rPr>
          <w:rFonts w:ascii="Arial" w:eastAsia="Times New Roman" w:hAnsi="Arial" w:cs="Arial"/>
          <w:sz w:val="20"/>
          <w:szCs w:val="20"/>
          <w:lang w:eastAsia="el-GR"/>
        </w:rPr>
        <w:t>Επιλέξιμες δράσεις στο Μέτρο 1:1.1.Ολοκληρωμένα έργα αναπλάσεων κοινόχρηστων χώρων και χώρων πρασίνου1.2.α. Αποκατάσταση /</w:t>
      </w:r>
      <w:proofErr w:type="spellStart"/>
      <w:r w:rsidRPr="00B63057">
        <w:rPr>
          <w:rFonts w:ascii="Arial" w:eastAsia="Times New Roman" w:hAnsi="Arial" w:cs="Arial"/>
          <w:sz w:val="20"/>
          <w:szCs w:val="20"/>
          <w:lang w:eastAsia="el-GR"/>
        </w:rPr>
        <w:t>επανάχρηση</w:t>
      </w:r>
      <w:proofErr w:type="spellEnd"/>
      <w:r w:rsidRPr="00B63057">
        <w:rPr>
          <w:rFonts w:ascii="Arial" w:eastAsia="Times New Roman" w:hAnsi="Arial" w:cs="Arial"/>
          <w:sz w:val="20"/>
          <w:szCs w:val="20"/>
          <w:lang w:eastAsia="el-GR"/>
        </w:rPr>
        <w:t xml:space="preserve"> δημόσιων κτιρίων χαρακτηρισμένων</w:t>
      </w:r>
      <w:r>
        <w:rPr>
          <w:rFonts w:ascii="Arial" w:eastAsia="Times New Roman" w:hAnsi="Arial" w:cs="Arial"/>
          <w:sz w:val="20"/>
          <w:szCs w:val="20"/>
          <w:lang w:eastAsia="el-GR"/>
        </w:rPr>
        <w:t xml:space="preserve"> </w:t>
      </w:r>
      <w:r w:rsidRPr="00B63057">
        <w:rPr>
          <w:rFonts w:ascii="Arial" w:eastAsia="Times New Roman" w:hAnsi="Arial" w:cs="Arial"/>
          <w:sz w:val="20"/>
          <w:szCs w:val="20"/>
          <w:lang w:eastAsia="el-GR"/>
        </w:rPr>
        <w:t>ως διατηρητέα, μνημεία ή έργα τέχνης. β. Συνδυασμός των δράσεων 2.6 και 2.7 του Μέτρου 2</w:t>
      </w:r>
      <w:r>
        <w:rPr>
          <w:rFonts w:ascii="Arial" w:eastAsia="Times New Roman" w:hAnsi="Arial" w:cs="Arial"/>
          <w:sz w:val="20"/>
          <w:szCs w:val="20"/>
          <w:lang w:eastAsia="el-GR"/>
        </w:rPr>
        <w:t xml:space="preserve"> </w:t>
      </w:r>
    </w:p>
    <w:p w:rsidR="00B63057" w:rsidRPr="00B63057" w:rsidRDefault="00B63057" w:rsidP="00B63057">
      <w:pPr>
        <w:spacing w:after="0"/>
        <w:rPr>
          <w:rFonts w:ascii="Times New Roman" w:eastAsia="Times New Roman" w:hAnsi="Times New Roman" w:cs="Times New Roman"/>
          <w:sz w:val="24"/>
          <w:szCs w:val="24"/>
          <w:lang w:eastAsia="el-GR"/>
        </w:rPr>
      </w:pPr>
    </w:p>
    <w:p w:rsidR="00B63057" w:rsidRDefault="00B63057" w:rsidP="00B63057">
      <w:pPr>
        <w:spacing w:after="0"/>
        <w:rPr>
          <w:rFonts w:ascii="Arial" w:eastAsia="Times New Roman" w:hAnsi="Arial" w:cs="Arial"/>
          <w:sz w:val="20"/>
          <w:szCs w:val="20"/>
          <w:lang w:eastAsia="el-GR"/>
        </w:rPr>
      </w:pPr>
      <w:r w:rsidRPr="00B63057">
        <w:rPr>
          <w:rFonts w:ascii="Arial" w:eastAsia="Times New Roman" w:hAnsi="Arial" w:cs="Arial"/>
          <w:b/>
          <w:sz w:val="20"/>
          <w:szCs w:val="20"/>
          <w:lang w:eastAsia="el-GR"/>
        </w:rPr>
        <w:lastRenderedPageBreak/>
        <w:t>Μέτρο 2</w:t>
      </w:r>
      <w:r w:rsidRPr="00B63057">
        <w:rPr>
          <w:rFonts w:ascii="Arial" w:eastAsia="Times New Roman" w:hAnsi="Arial" w:cs="Arial"/>
          <w:sz w:val="20"/>
          <w:szCs w:val="20"/>
          <w:lang w:eastAsia="el-GR"/>
        </w:rPr>
        <w:t>. Παρεμβάσεις στον αστικό χώρο</w:t>
      </w:r>
      <w:r>
        <w:rPr>
          <w:rFonts w:ascii="Arial" w:eastAsia="Times New Roman" w:hAnsi="Arial" w:cs="Arial"/>
          <w:sz w:val="20"/>
          <w:szCs w:val="20"/>
          <w:lang w:eastAsia="el-GR"/>
        </w:rPr>
        <w:t xml:space="preserve"> :</w:t>
      </w:r>
    </w:p>
    <w:p w:rsidR="00B63057" w:rsidRDefault="00B63057" w:rsidP="00B63057">
      <w:pPr>
        <w:spacing w:after="0"/>
        <w:rPr>
          <w:rFonts w:ascii="Arial" w:eastAsia="Times New Roman" w:hAnsi="Arial" w:cs="Arial"/>
          <w:sz w:val="20"/>
          <w:szCs w:val="20"/>
          <w:lang w:eastAsia="el-GR"/>
        </w:rPr>
      </w:pPr>
      <w:r w:rsidRPr="00B63057">
        <w:rPr>
          <w:rFonts w:ascii="Arial" w:eastAsia="Times New Roman" w:hAnsi="Arial" w:cs="Arial"/>
          <w:sz w:val="20"/>
          <w:szCs w:val="20"/>
          <w:lang w:eastAsia="el-GR"/>
        </w:rPr>
        <w:t>Επιλέξιμες δράσεις στο Μέτρο 2:</w:t>
      </w:r>
    </w:p>
    <w:p w:rsidR="00B63057" w:rsidRDefault="00B63057" w:rsidP="00B63057">
      <w:pPr>
        <w:spacing w:after="0"/>
        <w:rPr>
          <w:rFonts w:ascii="Arial" w:eastAsia="Times New Roman" w:hAnsi="Arial" w:cs="Arial"/>
          <w:sz w:val="20"/>
          <w:szCs w:val="20"/>
          <w:lang w:eastAsia="el-GR"/>
        </w:rPr>
      </w:pPr>
      <w:r w:rsidRPr="00B63057">
        <w:rPr>
          <w:rFonts w:ascii="Arial" w:eastAsia="Times New Roman" w:hAnsi="Arial" w:cs="Arial"/>
          <w:sz w:val="20"/>
          <w:szCs w:val="20"/>
          <w:lang w:eastAsia="el-GR"/>
        </w:rPr>
        <w:t>Αναδιαμόρφωση κοινόχρηστων χώρων και χώρων πρασίνου.</w:t>
      </w:r>
    </w:p>
    <w:p w:rsidR="00B63057" w:rsidRDefault="00B63057" w:rsidP="00B63057">
      <w:pPr>
        <w:spacing w:after="0"/>
        <w:rPr>
          <w:rFonts w:ascii="Arial" w:eastAsia="Times New Roman" w:hAnsi="Arial" w:cs="Arial"/>
          <w:sz w:val="20"/>
          <w:szCs w:val="20"/>
          <w:lang w:eastAsia="el-GR"/>
        </w:rPr>
      </w:pPr>
      <w:r w:rsidRPr="00B63057">
        <w:rPr>
          <w:rFonts w:ascii="Arial" w:eastAsia="Times New Roman" w:hAnsi="Arial" w:cs="Arial"/>
          <w:sz w:val="20"/>
          <w:szCs w:val="20"/>
          <w:lang w:eastAsia="el-GR"/>
        </w:rPr>
        <w:t>2.2.Αναβάθμιση του αστικού εξοπλισμού κοινόχρηστων χώρων και χώρων πρασίνου. Η δράση αυτή μπορεί να αποτελεί τμήμα άλλων δράσεων.</w:t>
      </w:r>
    </w:p>
    <w:p w:rsidR="00B63057" w:rsidRDefault="00B63057" w:rsidP="00B63057">
      <w:pPr>
        <w:spacing w:after="0"/>
        <w:rPr>
          <w:rFonts w:ascii="Arial" w:eastAsia="Times New Roman" w:hAnsi="Arial" w:cs="Arial"/>
          <w:sz w:val="20"/>
          <w:szCs w:val="20"/>
          <w:lang w:eastAsia="el-GR"/>
        </w:rPr>
      </w:pPr>
      <w:r w:rsidRPr="00B63057">
        <w:rPr>
          <w:rFonts w:ascii="Arial" w:eastAsia="Times New Roman" w:hAnsi="Arial" w:cs="Arial"/>
          <w:sz w:val="20"/>
          <w:szCs w:val="20"/>
          <w:lang w:eastAsia="el-GR"/>
        </w:rPr>
        <w:t>2.3.Δημιουργία ή αναβάθμιση παιδικών χαρών.</w:t>
      </w:r>
    </w:p>
    <w:p w:rsidR="00B63057" w:rsidRDefault="00B63057" w:rsidP="00B63057">
      <w:pPr>
        <w:spacing w:after="0"/>
        <w:rPr>
          <w:rFonts w:ascii="Arial" w:eastAsia="Times New Roman" w:hAnsi="Arial" w:cs="Arial"/>
          <w:sz w:val="20"/>
          <w:szCs w:val="20"/>
          <w:lang w:eastAsia="el-GR"/>
        </w:rPr>
      </w:pPr>
      <w:r w:rsidRPr="00B63057">
        <w:rPr>
          <w:rFonts w:ascii="Arial" w:eastAsia="Times New Roman" w:hAnsi="Arial" w:cs="Arial"/>
          <w:sz w:val="20"/>
          <w:szCs w:val="20"/>
          <w:lang w:eastAsia="el-GR"/>
        </w:rPr>
        <w:t xml:space="preserve"> 2.4.Βελτίωση και συμπλήρωση υφιστάμενων δικτύων κοινόχρηστων χώρων πρασίνου, κυρίως μέσω φυτεύσεων και βελτίωσης των σχετικών υποδομών. </w:t>
      </w:r>
    </w:p>
    <w:p w:rsidR="00B63057" w:rsidRDefault="00B63057" w:rsidP="00B63057">
      <w:pPr>
        <w:spacing w:after="0"/>
        <w:rPr>
          <w:rFonts w:ascii="Arial" w:eastAsia="Times New Roman" w:hAnsi="Arial" w:cs="Arial"/>
          <w:sz w:val="20"/>
          <w:szCs w:val="20"/>
          <w:lang w:eastAsia="el-GR"/>
        </w:rPr>
      </w:pPr>
      <w:r w:rsidRPr="00B63057">
        <w:rPr>
          <w:rFonts w:ascii="Arial" w:eastAsia="Times New Roman" w:hAnsi="Arial" w:cs="Arial"/>
          <w:sz w:val="20"/>
          <w:szCs w:val="20"/>
          <w:lang w:eastAsia="el-GR"/>
        </w:rPr>
        <w:t>2.5.Αισθητική, λειτουργική, περιβαλλοντική αναβάθμιση, διεύρυνση, ανακατασκευή, πεζοδρόμων ή και πεζοδρομίων και επιμέρους υποδομών τους, για τη δημιουργία δικτύου κίνησης πεζών με πρόνοια και για εμποδιζόμενα άτομα, σε κάθε περίπτωση λαμβάνοντας υπόψη τις αρχές του βιοκλιματικού σχεδιασμού.</w:t>
      </w:r>
    </w:p>
    <w:p w:rsidR="00B63057" w:rsidRDefault="00B63057" w:rsidP="00B63057">
      <w:pPr>
        <w:spacing w:after="0"/>
        <w:rPr>
          <w:rFonts w:ascii="Arial" w:eastAsia="Times New Roman" w:hAnsi="Arial" w:cs="Arial"/>
          <w:sz w:val="20"/>
          <w:szCs w:val="20"/>
          <w:lang w:eastAsia="el-GR"/>
        </w:rPr>
      </w:pPr>
      <w:r w:rsidRPr="00B63057">
        <w:rPr>
          <w:rFonts w:ascii="Arial" w:eastAsia="Times New Roman" w:hAnsi="Arial" w:cs="Arial"/>
          <w:sz w:val="20"/>
          <w:szCs w:val="20"/>
          <w:lang w:eastAsia="el-GR"/>
        </w:rPr>
        <w:t xml:space="preserve">2.6.Αναβάθμιση ενεργειακή, αισθητική και λειτουργική σχολικών κτιρίων και των υπαίθριων χώρων αυτών. Η επέκταση της δομημένης επιφάνειας δεν θεωρείται επιλέξιμη δράση. 2.7.Ανακαίνιση και διαμόρφωση κτιρίων που βρίσκονται στην ιδιοκτησία Ο.Τ.Α./ Δικαιούχου ή έχουν εκμισθωθεί/παραχωρηθεί σε ΟΤΑ/ Δικαιούχο από φορείς που συγκαταλέγονται στους εν δυνάμει δικαιούχους του Πράσινου Ταμείου για χρονική διάρκεια τουλάχιστον 15 ετών, με στόχο την </w:t>
      </w:r>
      <w:proofErr w:type="spellStart"/>
      <w:r w:rsidRPr="00B63057">
        <w:rPr>
          <w:rFonts w:ascii="Arial" w:eastAsia="Times New Roman" w:hAnsi="Arial" w:cs="Arial"/>
          <w:sz w:val="20"/>
          <w:szCs w:val="20"/>
          <w:lang w:eastAsia="el-GR"/>
        </w:rPr>
        <w:t>επαναχρηση</w:t>
      </w:r>
      <w:proofErr w:type="spellEnd"/>
      <w:r w:rsidRPr="00B63057">
        <w:rPr>
          <w:rFonts w:ascii="Arial" w:eastAsia="Times New Roman" w:hAnsi="Arial" w:cs="Arial"/>
          <w:sz w:val="20"/>
          <w:szCs w:val="20"/>
          <w:lang w:eastAsia="el-GR"/>
        </w:rPr>
        <w:t xml:space="preserve"> τους για την κάλυψη αναγκών εγκατάστασης κοινωνικών, πολιτιστικών ή εν γένει αναπτυξιακών δραστηριοτήτων,</w:t>
      </w:r>
    </w:p>
    <w:p w:rsidR="00B63057" w:rsidRDefault="00B63057" w:rsidP="00B63057">
      <w:pPr>
        <w:spacing w:after="0"/>
        <w:rPr>
          <w:rFonts w:ascii="Arial" w:eastAsia="Times New Roman" w:hAnsi="Arial" w:cs="Arial"/>
          <w:sz w:val="20"/>
          <w:szCs w:val="20"/>
          <w:lang w:eastAsia="el-GR"/>
        </w:rPr>
      </w:pPr>
      <w:r w:rsidRPr="00B63057">
        <w:rPr>
          <w:rFonts w:ascii="Arial" w:eastAsia="Times New Roman" w:hAnsi="Arial" w:cs="Arial"/>
          <w:sz w:val="20"/>
          <w:szCs w:val="20"/>
          <w:lang w:eastAsia="el-GR"/>
        </w:rPr>
        <w:t>2.8.Αισθητική αναβάθμιση όψεων κτιρίων που βρίσκονται στην ιδιοκτησία Ο.Τ.Α./ Δικαιούχου ή έχουν εκμισθωθεί/παραχωρηθεί σε ΟΤΑ/Δικαιούχο από φορείς που συγκαταλέγονται στους εν δυνάμει δικαιούχους του Πράσινου Ταμείου για χρονική διάρκεια τουλάχιστον 15 ετών, σε αξιόλογα τουριστικά, κοινωνικά ή πολιτιστικά σημεία της πόλης ή του δήμου, όπως σε κεντρικές πλατείες, καθώς και κτιρίων κεντρικών αξόνων και παραλιακών μετώπων</w:t>
      </w:r>
    </w:p>
    <w:p w:rsidR="00B63057" w:rsidRDefault="00B63057" w:rsidP="00B63057">
      <w:pPr>
        <w:spacing w:after="0"/>
        <w:rPr>
          <w:rFonts w:ascii="Arial" w:eastAsia="Times New Roman" w:hAnsi="Arial" w:cs="Arial"/>
          <w:sz w:val="20"/>
          <w:szCs w:val="20"/>
          <w:lang w:eastAsia="el-GR"/>
        </w:rPr>
      </w:pPr>
      <w:r w:rsidRPr="00B63057">
        <w:rPr>
          <w:rFonts w:ascii="Arial" w:eastAsia="Times New Roman" w:hAnsi="Arial" w:cs="Arial"/>
          <w:sz w:val="20"/>
          <w:szCs w:val="20"/>
          <w:lang w:eastAsia="el-GR"/>
        </w:rPr>
        <w:t>.2.9.Διαμόρφωση θεσμοθετημένων χώρων στάθμευσης οχημάτων, υπαίθριων με βιοκλιματικά χαρακτηριστικά και υλικά καθώς και υπόγειων.</w:t>
      </w:r>
    </w:p>
    <w:p w:rsidR="00B63057" w:rsidRPr="00B63057" w:rsidRDefault="00B63057" w:rsidP="00B63057">
      <w:pPr>
        <w:spacing w:after="0"/>
        <w:rPr>
          <w:rFonts w:ascii="Times New Roman" w:eastAsia="Times New Roman" w:hAnsi="Times New Roman" w:cs="Times New Roman"/>
          <w:sz w:val="24"/>
          <w:szCs w:val="24"/>
          <w:lang w:eastAsia="el-GR"/>
        </w:rPr>
      </w:pPr>
      <w:r w:rsidRPr="00B63057">
        <w:rPr>
          <w:rFonts w:ascii="Arial" w:eastAsia="Times New Roman" w:hAnsi="Arial" w:cs="Arial"/>
          <w:sz w:val="20"/>
          <w:szCs w:val="20"/>
          <w:lang w:eastAsia="el-GR"/>
        </w:rPr>
        <w:t>2.10.Απομάκρυνση επικίνδυνων αποβλήτων (π.χ. αμιάντου) από σχολικές εγκαταστάσεις και δημόσια κτίρια σε πολεοδομικά ευαίσθητες περιοχές.</w:t>
      </w:r>
    </w:p>
    <w:p w:rsidR="00B63057" w:rsidRPr="00B63057" w:rsidRDefault="00B63057" w:rsidP="00B63057">
      <w:pPr>
        <w:spacing w:after="0" w:line="240" w:lineRule="auto"/>
        <w:rPr>
          <w:rFonts w:ascii="Times New Roman" w:eastAsia="Times New Roman" w:hAnsi="Times New Roman" w:cs="Times New Roman"/>
          <w:sz w:val="24"/>
          <w:szCs w:val="24"/>
          <w:lang w:eastAsia="el-GR"/>
        </w:rPr>
      </w:pPr>
    </w:p>
    <w:p w:rsidR="00B63057" w:rsidRPr="00B63057" w:rsidRDefault="00B63057" w:rsidP="00B63057">
      <w:pPr>
        <w:spacing w:after="0" w:line="240" w:lineRule="auto"/>
        <w:rPr>
          <w:rFonts w:ascii="Times New Roman" w:eastAsia="Times New Roman" w:hAnsi="Times New Roman" w:cs="Times New Roman"/>
          <w:sz w:val="24"/>
          <w:szCs w:val="24"/>
          <w:lang w:eastAsia="el-GR"/>
        </w:rPr>
      </w:pPr>
      <w:r w:rsidRPr="00B63057">
        <w:rPr>
          <w:rFonts w:ascii="Arial" w:eastAsia="Times New Roman" w:hAnsi="Arial" w:cs="Arial"/>
          <w:sz w:val="20"/>
          <w:szCs w:val="20"/>
          <w:lang w:eastAsia="el-GR"/>
        </w:rPr>
        <w:t>Κάθε Δήμος μπορεί να υποβάλλει έως δύο (2) προτάσεις στο ίδιο Μέτρο.</w:t>
      </w:r>
      <w:r w:rsidR="002821BD">
        <w:rPr>
          <w:rFonts w:ascii="Arial" w:eastAsia="Times New Roman" w:hAnsi="Arial" w:cs="Arial"/>
          <w:sz w:val="20"/>
          <w:szCs w:val="20"/>
          <w:lang w:eastAsia="el-GR"/>
        </w:rPr>
        <w:t xml:space="preserve"> </w:t>
      </w:r>
      <w:r w:rsidRPr="00B63057">
        <w:rPr>
          <w:rFonts w:ascii="Arial" w:eastAsia="Times New Roman" w:hAnsi="Arial" w:cs="Arial"/>
          <w:sz w:val="20"/>
          <w:szCs w:val="20"/>
          <w:lang w:eastAsia="el-GR"/>
        </w:rPr>
        <w:t xml:space="preserve">έως τις 20/10/2020 </w:t>
      </w:r>
    </w:p>
    <w:p w:rsidR="00F971CD" w:rsidRPr="00F971CD" w:rsidRDefault="00F971CD">
      <w:pPr>
        <w:rPr>
          <w:b/>
        </w:rPr>
      </w:pPr>
    </w:p>
    <w:p w:rsidR="00F0567E" w:rsidRDefault="00F0567E"/>
    <w:p w:rsidR="00F0567E" w:rsidRPr="002C1EB7" w:rsidRDefault="00F0567E"/>
    <w:sectPr w:rsidR="00F0567E" w:rsidRPr="002C1EB7" w:rsidSect="000D529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83D01"/>
    <w:rsid w:val="000957F3"/>
    <w:rsid w:val="000D5295"/>
    <w:rsid w:val="002821BD"/>
    <w:rsid w:val="002C1EB7"/>
    <w:rsid w:val="00737B85"/>
    <w:rsid w:val="00773DC7"/>
    <w:rsid w:val="008863C6"/>
    <w:rsid w:val="00A83D01"/>
    <w:rsid w:val="00B63057"/>
    <w:rsid w:val="00B768F7"/>
    <w:rsid w:val="00E54FD6"/>
    <w:rsid w:val="00F0567E"/>
    <w:rsid w:val="00F971C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2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2C1EB7"/>
    <w:rPr>
      <w:color w:val="0000FF"/>
      <w:u w:val="single"/>
    </w:rPr>
  </w:style>
  <w:style w:type="character" w:styleId="a3">
    <w:name w:val="Strong"/>
    <w:basedOn w:val="a0"/>
    <w:uiPriority w:val="22"/>
    <w:qFormat/>
    <w:rsid w:val="002C1EB7"/>
    <w:rPr>
      <w:b/>
      <w:bCs/>
    </w:rPr>
  </w:style>
  <w:style w:type="character" w:customStyle="1" w:styleId="title">
    <w:name w:val="title"/>
    <w:basedOn w:val="a0"/>
    <w:rsid w:val="00F971CD"/>
  </w:style>
  <w:style w:type="paragraph" w:styleId="Web">
    <w:name w:val="Normal (Web)"/>
    <w:basedOn w:val="a"/>
    <w:uiPriority w:val="99"/>
    <w:semiHidden/>
    <w:unhideWhenUsed/>
    <w:rsid w:val="00F971C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981233654">
      <w:bodyDiv w:val="1"/>
      <w:marLeft w:val="0"/>
      <w:marRight w:val="0"/>
      <w:marTop w:val="0"/>
      <w:marBottom w:val="0"/>
      <w:divBdr>
        <w:top w:val="none" w:sz="0" w:space="0" w:color="auto"/>
        <w:left w:val="none" w:sz="0" w:space="0" w:color="auto"/>
        <w:bottom w:val="none" w:sz="0" w:space="0" w:color="auto"/>
        <w:right w:val="none" w:sz="0" w:space="0" w:color="auto"/>
      </w:divBdr>
      <w:divsChild>
        <w:div w:id="1781533292">
          <w:marLeft w:val="0"/>
          <w:marRight w:val="0"/>
          <w:marTop w:val="0"/>
          <w:marBottom w:val="0"/>
          <w:divBdr>
            <w:top w:val="none" w:sz="0" w:space="0" w:color="auto"/>
            <w:left w:val="none" w:sz="0" w:space="0" w:color="auto"/>
            <w:bottom w:val="none" w:sz="0" w:space="0" w:color="auto"/>
            <w:right w:val="none" w:sz="0" w:space="0" w:color="auto"/>
          </w:divBdr>
        </w:div>
        <w:div w:id="1696734592">
          <w:marLeft w:val="0"/>
          <w:marRight w:val="0"/>
          <w:marTop w:val="0"/>
          <w:marBottom w:val="0"/>
          <w:divBdr>
            <w:top w:val="none" w:sz="0" w:space="0" w:color="auto"/>
            <w:left w:val="none" w:sz="0" w:space="0" w:color="auto"/>
            <w:bottom w:val="none" w:sz="0" w:space="0" w:color="auto"/>
            <w:right w:val="none" w:sz="0" w:space="0" w:color="auto"/>
          </w:divBdr>
        </w:div>
        <w:div w:id="1041590680">
          <w:marLeft w:val="0"/>
          <w:marRight w:val="0"/>
          <w:marTop w:val="0"/>
          <w:marBottom w:val="0"/>
          <w:divBdr>
            <w:top w:val="none" w:sz="0" w:space="0" w:color="auto"/>
            <w:left w:val="none" w:sz="0" w:space="0" w:color="auto"/>
            <w:bottom w:val="none" w:sz="0" w:space="0" w:color="auto"/>
            <w:right w:val="none" w:sz="0" w:space="0" w:color="auto"/>
          </w:divBdr>
        </w:div>
        <w:div w:id="207225997">
          <w:marLeft w:val="0"/>
          <w:marRight w:val="0"/>
          <w:marTop w:val="0"/>
          <w:marBottom w:val="0"/>
          <w:divBdr>
            <w:top w:val="none" w:sz="0" w:space="0" w:color="auto"/>
            <w:left w:val="none" w:sz="0" w:space="0" w:color="auto"/>
            <w:bottom w:val="none" w:sz="0" w:space="0" w:color="auto"/>
            <w:right w:val="none" w:sz="0" w:space="0" w:color="auto"/>
          </w:divBdr>
        </w:div>
        <w:div w:id="785318954">
          <w:marLeft w:val="0"/>
          <w:marRight w:val="0"/>
          <w:marTop w:val="0"/>
          <w:marBottom w:val="0"/>
          <w:divBdr>
            <w:top w:val="none" w:sz="0" w:space="0" w:color="auto"/>
            <w:left w:val="none" w:sz="0" w:space="0" w:color="auto"/>
            <w:bottom w:val="none" w:sz="0" w:space="0" w:color="auto"/>
            <w:right w:val="none" w:sz="0" w:space="0" w:color="auto"/>
          </w:divBdr>
        </w:div>
      </w:divsChild>
    </w:div>
    <w:div w:id="1116489707">
      <w:bodyDiv w:val="1"/>
      <w:marLeft w:val="0"/>
      <w:marRight w:val="0"/>
      <w:marTop w:val="0"/>
      <w:marBottom w:val="0"/>
      <w:divBdr>
        <w:top w:val="none" w:sz="0" w:space="0" w:color="auto"/>
        <w:left w:val="none" w:sz="0" w:space="0" w:color="auto"/>
        <w:bottom w:val="none" w:sz="0" w:space="0" w:color="auto"/>
        <w:right w:val="none" w:sz="0" w:space="0" w:color="auto"/>
      </w:divBdr>
    </w:div>
    <w:div w:id="1119572523">
      <w:bodyDiv w:val="1"/>
      <w:marLeft w:val="0"/>
      <w:marRight w:val="0"/>
      <w:marTop w:val="0"/>
      <w:marBottom w:val="0"/>
      <w:divBdr>
        <w:top w:val="none" w:sz="0" w:space="0" w:color="auto"/>
        <w:left w:val="none" w:sz="0" w:space="0" w:color="auto"/>
        <w:bottom w:val="none" w:sz="0" w:space="0" w:color="auto"/>
        <w:right w:val="none" w:sz="0" w:space="0" w:color="auto"/>
      </w:divBdr>
    </w:div>
    <w:div w:id="1174302924">
      <w:bodyDiv w:val="1"/>
      <w:marLeft w:val="0"/>
      <w:marRight w:val="0"/>
      <w:marTop w:val="0"/>
      <w:marBottom w:val="0"/>
      <w:divBdr>
        <w:top w:val="none" w:sz="0" w:space="0" w:color="auto"/>
        <w:left w:val="none" w:sz="0" w:space="0" w:color="auto"/>
        <w:bottom w:val="none" w:sz="0" w:space="0" w:color="auto"/>
        <w:right w:val="none" w:sz="0" w:space="0" w:color="auto"/>
      </w:divBdr>
    </w:div>
    <w:div w:id="1267159009">
      <w:bodyDiv w:val="1"/>
      <w:marLeft w:val="0"/>
      <w:marRight w:val="0"/>
      <w:marTop w:val="0"/>
      <w:marBottom w:val="0"/>
      <w:divBdr>
        <w:top w:val="none" w:sz="0" w:space="0" w:color="auto"/>
        <w:left w:val="none" w:sz="0" w:space="0" w:color="auto"/>
        <w:bottom w:val="none" w:sz="0" w:space="0" w:color="auto"/>
        <w:right w:val="none" w:sz="0" w:space="0" w:color="auto"/>
      </w:divBdr>
    </w:div>
    <w:div w:id="1524704518">
      <w:bodyDiv w:val="1"/>
      <w:marLeft w:val="0"/>
      <w:marRight w:val="0"/>
      <w:marTop w:val="0"/>
      <w:marBottom w:val="0"/>
      <w:divBdr>
        <w:top w:val="none" w:sz="0" w:space="0" w:color="auto"/>
        <w:left w:val="none" w:sz="0" w:space="0" w:color="auto"/>
        <w:bottom w:val="none" w:sz="0" w:space="0" w:color="auto"/>
        <w:right w:val="none" w:sz="0" w:space="0" w:color="auto"/>
      </w:divBdr>
    </w:div>
    <w:div w:id="1772118884">
      <w:bodyDiv w:val="1"/>
      <w:marLeft w:val="0"/>
      <w:marRight w:val="0"/>
      <w:marTop w:val="0"/>
      <w:marBottom w:val="0"/>
      <w:divBdr>
        <w:top w:val="none" w:sz="0" w:space="0" w:color="auto"/>
        <w:left w:val="none" w:sz="0" w:space="0" w:color="auto"/>
        <w:bottom w:val="none" w:sz="0" w:space="0" w:color="auto"/>
        <w:right w:val="none" w:sz="0" w:space="0" w:color="auto"/>
      </w:divBdr>
    </w:div>
    <w:div w:id="207103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meperaa.gr" TargetMode="External"/><Relationship Id="rId4" Type="http://schemas.openxmlformats.org/officeDocument/2006/relationships/hyperlink" Target="https://www.ype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6998</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2020-09-09T07:10:00Z</dcterms:created>
  <dcterms:modified xsi:type="dcterms:W3CDTF">2020-09-09T07:10:00Z</dcterms:modified>
</cp:coreProperties>
</file>