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32C" w:rsidRPr="0010132C" w:rsidRDefault="0010132C" w:rsidP="0010132C">
      <w:pPr>
        <w:spacing w:before="100" w:beforeAutospacing="1" w:after="100" w:afterAutospacing="1" w:line="240" w:lineRule="auto"/>
        <w:outlineLvl w:val="0"/>
        <w:rPr>
          <w:rFonts w:eastAsia="Times New Roman" w:cs="Times New Roman"/>
          <w:b/>
          <w:bCs/>
          <w:kern w:val="36"/>
          <w:sz w:val="28"/>
          <w:szCs w:val="28"/>
          <w:lang w:eastAsia="el-GR"/>
        </w:rPr>
      </w:pPr>
      <w:r w:rsidRPr="0010132C">
        <w:rPr>
          <w:rFonts w:eastAsia="Times New Roman" w:cs="Times New Roman"/>
          <w:b/>
          <w:bCs/>
          <w:kern w:val="36"/>
          <w:sz w:val="28"/>
          <w:szCs w:val="28"/>
          <w:lang w:val="en-US" w:eastAsia="el-GR"/>
        </w:rPr>
        <w:t>O</w:t>
      </w:r>
      <w:r w:rsidRPr="0010132C">
        <w:rPr>
          <w:rFonts w:eastAsia="Times New Roman" w:cs="Times New Roman"/>
          <w:b/>
          <w:bCs/>
          <w:kern w:val="36"/>
          <w:sz w:val="28"/>
          <w:szCs w:val="28"/>
          <w:lang w:eastAsia="el-GR"/>
        </w:rPr>
        <w:t xml:space="preserve">ι λεπτομέρειες για το </w:t>
      </w:r>
      <w:proofErr w:type="gramStart"/>
      <w:r w:rsidRPr="0010132C">
        <w:rPr>
          <w:rFonts w:eastAsia="Times New Roman" w:cs="Times New Roman"/>
          <w:b/>
          <w:bCs/>
          <w:kern w:val="36"/>
          <w:sz w:val="28"/>
          <w:szCs w:val="28"/>
          <w:lang w:eastAsia="el-GR"/>
        </w:rPr>
        <w:t>προγράμματα  του</w:t>
      </w:r>
      <w:proofErr w:type="gramEnd"/>
      <w:r w:rsidRPr="0010132C">
        <w:rPr>
          <w:rFonts w:eastAsia="Times New Roman" w:cs="Times New Roman"/>
          <w:b/>
          <w:bCs/>
          <w:kern w:val="36"/>
          <w:sz w:val="28"/>
          <w:szCs w:val="28"/>
          <w:lang w:eastAsia="el-GR"/>
        </w:rPr>
        <w:t xml:space="preserve"> μέτρου 4.2 της  Αγροτικής Ανάπτυξης περιόδου 2014-2020</w:t>
      </w:r>
    </w:p>
    <w:p w:rsidR="0010132C" w:rsidRPr="0010132C" w:rsidRDefault="0010132C" w:rsidP="0010132C">
      <w:pPr>
        <w:spacing w:after="0" w:line="240" w:lineRule="auto"/>
        <w:rPr>
          <w:rFonts w:eastAsia="Times New Roman" w:cs="Times New Roman"/>
          <w:color w:val="CC0000"/>
          <w:lang w:eastAsia="el-GR"/>
        </w:rPr>
      </w:pPr>
      <w:r w:rsidRPr="0010132C">
        <w:rPr>
          <w:rFonts w:eastAsia="Times New Roman" w:cs="Times New Roman"/>
          <w:color w:val="CC0000"/>
          <w:lang w:eastAsia="el-GR"/>
        </w:rPr>
        <w:t>[05.04.2017]</w:t>
      </w:r>
    </w:p>
    <w:p w:rsidR="0010132C" w:rsidRPr="0010132C" w:rsidRDefault="0010132C" w:rsidP="0010132C">
      <w:pPr>
        <w:spacing w:after="0" w:line="240" w:lineRule="auto"/>
        <w:rPr>
          <w:rFonts w:eastAsia="Times New Roman" w:cs="Times New Roman"/>
          <w:lang w:eastAsia="el-GR"/>
        </w:rPr>
      </w:pPr>
    </w:p>
    <w:p w:rsidR="0010132C" w:rsidRPr="0010132C" w:rsidRDefault="0010132C" w:rsidP="0010132C">
      <w:pPr>
        <w:spacing w:after="0" w:line="240" w:lineRule="auto"/>
        <w:rPr>
          <w:rFonts w:eastAsia="Times New Roman" w:cs="Times New Roman"/>
          <w:lang w:eastAsia="el-GR"/>
        </w:rPr>
      </w:pPr>
    </w:p>
    <w:p w:rsidR="0010132C" w:rsidRPr="0010132C" w:rsidRDefault="0010132C" w:rsidP="0010132C">
      <w:pPr>
        <w:spacing w:after="0" w:line="240" w:lineRule="auto"/>
        <w:rPr>
          <w:rFonts w:eastAsia="Times New Roman" w:cs="Times New Roman"/>
          <w:lang w:eastAsia="el-GR"/>
        </w:rPr>
      </w:pPr>
      <w:r w:rsidRPr="0010132C">
        <w:rPr>
          <w:rFonts w:eastAsia="Times New Roman" w:cs="Times New Roman"/>
          <w:lang w:eastAsia="el-GR"/>
        </w:rPr>
        <w:t xml:space="preserve">Δημοσιεύθηκε στο ΦΕΚ η απόφαση του υπουργείου ανάπτυξης και τροφίμων με τις λεπτομέρειες εφαρμογής του </w:t>
      </w:r>
      <w:proofErr w:type="spellStart"/>
      <w:r w:rsidRPr="0010132C">
        <w:rPr>
          <w:rFonts w:eastAsia="Times New Roman" w:cs="Times New Roman"/>
          <w:lang w:eastAsia="el-GR"/>
        </w:rPr>
        <w:t>υπομέτρου</w:t>
      </w:r>
      <w:proofErr w:type="spellEnd"/>
      <w:r w:rsidRPr="0010132C">
        <w:rPr>
          <w:rFonts w:eastAsia="Times New Roman" w:cs="Times New Roman"/>
          <w:lang w:eastAsia="el-GR"/>
        </w:rPr>
        <w:t xml:space="preserve"> 4.2 «Στήριξη για επενδύσεις στη μεταποίηση/εμπορία και/ή ανάπτυξη γεωργικών προϊόντων» του Προγράμματος Αγροτικής Ανάπτυξης (ΠΑΑ) της Ελλάδας περιόδου 2014-2020.</w:t>
      </w:r>
    </w:p>
    <w:p w:rsidR="0010132C" w:rsidRPr="0010132C" w:rsidRDefault="0010132C" w:rsidP="0010132C">
      <w:pPr>
        <w:spacing w:after="0" w:line="240" w:lineRule="auto"/>
        <w:rPr>
          <w:rFonts w:eastAsia="Times New Roman" w:cs="Times New Roman"/>
          <w:lang w:eastAsia="el-GR"/>
        </w:rPr>
      </w:pPr>
    </w:p>
    <w:p w:rsidR="0010132C" w:rsidRPr="0010132C" w:rsidRDefault="0010132C" w:rsidP="0010132C">
      <w:pPr>
        <w:spacing w:after="0" w:line="240" w:lineRule="auto"/>
        <w:rPr>
          <w:rFonts w:eastAsia="Times New Roman" w:cs="Times New Roman"/>
          <w:lang w:eastAsia="el-GR"/>
        </w:rPr>
      </w:pPr>
      <w:r w:rsidRPr="0010132C">
        <w:rPr>
          <w:rFonts w:eastAsia="Times New Roman" w:cs="Times New Roman"/>
          <w:lang w:eastAsia="el-GR"/>
        </w:rPr>
        <w:t xml:space="preserve">Το </w:t>
      </w:r>
      <w:proofErr w:type="spellStart"/>
      <w:r w:rsidRPr="0010132C">
        <w:rPr>
          <w:rFonts w:eastAsia="Times New Roman" w:cs="Times New Roman"/>
          <w:lang w:eastAsia="el-GR"/>
        </w:rPr>
        <w:t>υπομέτρο</w:t>
      </w:r>
      <w:proofErr w:type="spellEnd"/>
      <w:r w:rsidRPr="0010132C">
        <w:rPr>
          <w:rFonts w:eastAsia="Times New Roman" w:cs="Times New Roman"/>
          <w:lang w:eastAsia="el-GR"/>
        </w:rPr>
        <w:t xml:space="preserve"> αφορά στη στήριξη των δικαιούχων που δραστηριοποιούνται στη μεταποίηση/εμπορία και/ή ανάπτυξη γεωργικών προϊόντων και έχει ως στόχο, μεταξύ άλλων:</w:t>
      </w:r>
    </w:p>
    <w:p w:rsidR="0010132C" w:rsidRPr="0010132C" w:rsidRDefault="0010132C" w:rsidP="0010132C">
      <w:pPr>
        <w:spacing w:before="100" w:beforeAutospacing="1" w:after="240" w:line="240" w:lineRule="auto"/>
        <w:rPr>
          <w:rFonts w:eastAsia="Times New Roman" w:cs="Times New Roman"/>
          <w:lang w:eastAsia="el-GR"/>
        </w:rPr>
      </w:pPr>
      <w:r w:rsidRPr="0010132C">
        <w:rPr>
          <w:rFonts w:eastAsia="Times New Roman" w:cs="Times New Roman"/>
          <w:lang w:eastAsia="el-GR"/>
        </w:rPr>
        <w:t>α) Την αύξηση της προστιθέμενης αξίας των γεωργικών προϊόντων.</w:t>
      </w:r>
      <w:r w:rsidRPr="0010132C">
        <w:rPr>
          <w:rFonts w:eastAsia="Times New Roman" w:cs="Times New Roman"/>
          <w:lang w:eastAsia="el-GR"/>
        </w:rPr>
        <w:br/>
        <w:t>β) Την ενσωμάτωση διαδικασιών καινοτομίας και χρήσης νέων τεχνολογιών και διαδικασιών φιλικών προς το περιβάλλον, που περιορίζουν το φαινόμενο της κλιματικής αλλαγής.</w:t>
      </w:r>
      <w:r w:rsidRPr="0010132C">
        <w:rPr>
          <w:rFonts w:eastAsia="Times New Roman" w:cs="Times New Roman"/>
          <w:lang w:eastAsia="el-GR"/>
        </w:rPr>
        <w:br/>
        <w:t>γ) Τη διατήρηση και τη δημιουργία θέσεων εργασίας και την προστασία της ανθρώπινης υγείας.</w:t>
      </w:r>
      <w:r w:rsidRPr="0010132C">
        <w:rPr>
          <w:rFonts w:eastAsia="Times New Roman" w:cs="Times New Roman"/>
          <w:lang w:eastAsia="el-GR"/>
        </w:rPr>
        <w:br/>
        <w:t>δ) Τη διευκόλυνση της ένταξης των επαγγελματιών αγροτών στο μέτρο της μεταποίησης, προκειμένου να αυξήσουν το εισόδημά τους και να παρέχουν προϊόντα με υψηλή προστιθέμενη αξία.</w:t>
      </w:r>
      <w:r w:rsidRPr="0010132C">
        <w:rPr>
          <w:rFonts w:eastAsia="Times New Roman" w:cs="Times New Roman"/>
          <w:lang w:eastAsia="el-GR"/>
        </w:rPr>
        <w:br/>
        <w:t>ε) Την παραγωγή και τη διάθεση πιο ανταγωνιστικών ποιοτικών προϊόντων, προκειμένου να ενισχυθούν οι τοπικές αγορές και η τοπική ανάπτυξη, να δημιουργηθούν θέσεις εργασίας και να συγκρατηθεί ο πληθυσμός στην ύπαιθρο.</w:t>
      </w:r>
      <w:r w:rsidRPr="0010132C">
        <w:rPr>
          <w:rFonts w:eastAsia="Times New Roman" w:cs="Times New Roman"/>
          <w:lang w:eastAsia="el-GR"/>
        </w:rPr>
        <w:br/>
      </w:r>
      <w:r w:rsidRPr="0010132C">
        <w:rPr>
          <w:rFonts w:eastAsia="Times New Roman" w:cs="Times New Roman"/>
          <w:lang w:eastAsia="el-GR"/>
        </w:rPr>
        <w:br/>
        <w:t xml:space="preserve">Το </w:t>
      </w:r>
      <w:proofErr w:type="spellStart"/>
      <w:r w:rsidRPr="0010132C">
        <w:rPr>
          <w:rFonts w:eastAsia="Times New Roman" w:cs="Times New Roman"/>
          <w:lang w:eastAsia="el-GR"/>
        </w:rPr>
        <w:t>υπομέτρο</w:t>
      </w:r>
      <w:proofErr w:type="spellEnd"/>
      <w:r w:rsidRPr="0010132C">
        <w:rPr>
          <w:rFonts w:eastAsia="Times New Roman" w:cs="Times New Roman"/>
          <w:lang w:eastAsia="el-GR"/>
        </w:rPr>
        <w:t xml:space="preserve"> συγχρηματοδοτείται από το Ευρωπαϊκό Γεωργικό Ταμείο Αγροτικής Ανάπτυξης (ΕΓΤΑΑ) και τον κρατικό προϋπολογισμό, η στήριξη παρέχεται με τη μορφή επιχορήγησης και δύναται να συνδυαστεί με χρηματοδοτικά εργαλεία. Δύναται να χορηγηθεί προκαταβολή σύμφωνα με την παρ. 4 του άρθρου 45 του Κανονισμού 1305/2013.</w:t>
      </w:r>
    </w:p>
    <w:p w:rsidR="0010132C" w:rsidRPr="0010132C" w:rsidRDefault="0010132C" w:rsidP="0010132C">
      <w:pPr>
        <w:spacing w:before="100" w:beforeAutospacing="1" w:after="100" w:afterAutospacing="1" w:line="240" w:lineRule="auto"/>
        <w:rPr>
          <w:rFonts w:eastAsia="Times New Roman" w:cs="Times New Roman"/>
          <w:lang w:eastAsia="el-GR"/>
        </w:rPr>
      </w:pPr>
      <w:r w:rsidRPr="0010132C">
        <w:rPr>
          <w:rFonts w:eastAsia="Times New Roman" w:cs="Times New Roman"/>
          <w:b/>
          <w:bCs/>
          <w:lang w:eastAsia="el-GR"/>
        </w:rPr>
        <w:t>Δράσεις, ενισχυόμενοι κλάδοι και δικαιούχοι</w:t>
      </w:r>
    </w:p>
    <w:p w:rsidR="0010132C" w:rsidRPr="0010132C" w:rsidRDefault="0010132C" w:rsidP="0010132C">
      <w:pPr>
        <w:spacing w:before="100" w:beforeAutospacing="1" w:after="100" w:afterAutospacing="1" w:line="240" w:lineRule="auto"/>
        <w:rPr>
          <w:rFonts w:eastAsia="Times New Roman" w:cs="Times New Roman"/>
          <w:lang w:eastAsia="el-GR"/>
        </w:rPr>
      </w:pPr>
      <w:r w:rsidRPr="0010132C">
        <w:rPr>
          <w:rFonts w:eastAsia="Times New Roman" w:cs="Times New Roman"/>
          <w:lang w:eastAsia="el-GR"/>
        </w:rPr>
        <w:br/>
        <w:t xml:space="preserve">Το </w:t>
      </w:r>
      <w:proofErr w:type="spellStart"/>
      <w:r w:rsidRPr="0010132C">
        <w:rPr>
          <w:rFonts w:eastAsia="Times New Roman" w:cs="Times New Roman"/>
          <w:lang w:eastAsia="el-GR"/>
        </w:rPr>
        <w:t>υπομέτρο</w:t>
      </w:r>
      <w:proofErr w:type="spellEnd"/>
      <w:r w:rsidRPr="0010132C">
        <w:rPr>
          <w:rFonts w:eastAsia="Times New Roman" w:cs="Times New Roman"/>
          <w:lang w:eastAsia="el-GR"/>
        </w:rPr>
        <w:t xml:space="preserve"> 4.2 αποτελείται από τις κατωτέρω δράσεις:</w:t>
      </w:r>
      <w:r w:rsidRPr="0010132C">
        <w:rPr>
          <w:rFonts w:eastAsia="Times New Roman" w:cs="Times New Roman"/>
          <w:lang w:eastAsia="el-GR"/>
        </w:rPr>
        <w:br/>
      </w:r>
      <w:r w:rsidRPr="0010132C">
        <w:rPr>
          <w:rFonts w:eastAsia="Times New Roman" w:cs="Times New Roman"/>
          <w:lang w:eastAsia="el-GR"/>
        </w:rPr>
        <w:br/>
        <w:t xml:space="preserve">α) ΔΡΑΣΗ 4.2.1 «Μεταποίηση, εμπορία και ανάπτυξη με τελικό προϊόν εντός του Παραρτήματος Ι της Συνθήκης για τη Λειτουργία της Ευρωπαϊκής Ένωσης (γεωργικό προϊόν)», με δικαιούχους τις πολύ μικρές, μικρές και τις μεσαίες επιχειρήσεις, όπως αυτές ορίζονται στην αριθ. </w:t>
      </w:r>
      <w:hyperlink r:id="rId4" w:tgtFrame="_blank" w:history="1">
        <w:r w:rsidRPr="0010132C">
          <w:rPr>
            <w:rFonts w:eastAsia="Times New Roman" w:cs="Times New Roman"/>
            <w:color w:val="0000FF"/>
            <w:u w:val="single"/>
            <w:lang w:eastAsia="el-GR"/>
          </w:rPr>
          <w:t>2003/361/ΕΚ</w:t>
        </w:r>
      </w:hyperlink>
      <w:r w:rsidRPr="0010132C">
        <w:rPr>
          <w:rFonts w:eastAsia="Times New Roman" w:cs="Times New Roman"/>
          <w:lang w:eastAsia="el-GR"/>
        </w:rPr>
        <w:t xml:space="preserve"> σύσταση της Επιτροπής (L 124/36/20.5.2003), καθώς και τις μεγάλες επιχειρήσεις. Είναι επιλέξιμη κάθε μορφή επιχείρησης του προηγούμενου εδαφίου, η οποία έχει την υποχρέωση τήρησης βιβλίων Β΄ ή Γ΄ κατηγορίας, με εξαίρεση τις επιχειρήσεις που λειτουργούν υπό τη μορφή της κοινωνίας, της εταιρείας αστικού δικαίου και της κοινοπραξίας.</w:t>
      </w:r>
      <w:r w:rsidRPr="0010132C">
        <w:rPr>
          <w:rFonts w:eastAsia="Times New Roman" w:cs="Times New Roman"/>
          <w:lang w:eastAsia="el-GR"/>
        </w:rPr>
        <w:br/>
      </w:r>
      <w:r w:rsidRPr="0010132C">
        <w:rPr>
          <w:rFonts w:eastAsia="Times New Roman" w:cs="Times New Roman"/>
          <w:lang w:eastAsia="el-GR"/>
        </w:rPr>
        <w:br/>
        <w:t>β) ΔΡΑΣΗ 4.2.2 «Μεταποίηση, εμπορία και ανάπτυξη γεωργικών προϊόντων με τελικό προϊόν εκτός Παραρτήματος Ι της Συνθήκης για τη Λειτουργία της Ευρωπαϊκής Ένωσης (μη γεωργικό προϊόν)».</w:t>
      </w:r>
      <w:r w:rsidRPr="0010132C">
        <w:rPr>
          <w:rFonts w:eastAsia="Times New Roman" w:cs="Times New Roman"/>
          <w:lang w:eastAsia="el-GR"/>
        </w:rPr>
        <w:br/>
      </w:r>
      <w:r w:rsidRPr="0010132C">
        <w:rPr>
          <w:rFonts w:eastAsia="Times New Roman" w:cs="Times New Roman"/>
          <w:lang w:eastAsia="el-GR"/>
        </w:rPr>
        <w:lastRenderedPageBreak/>
        <w:br/>
        <w:t>γ) ΔΡΑΣΗ 4.2.3 «Μεταποίηση, εμπορία και ανάπτυξη γεωργικών προϊόντων από επαγγελματίες αγρότες». Όταν το τελικό προϊόν είναι εντός του Παραρτήματος Ι της Συνθήκης για τη Λειτουργία της Ευρωπαϊκής Ένωσης (γεωργικό προϊόν) δικαιούχοι είναι οι επαγγελματίες αγρότες, όπως αυτοί ορίζονται στον ν. 3874/2010 (Α΄151), όπως τροποποιήθηκε και ισχύει, οι οποίοι δύνανται να μεταποιούν εκτός από την πρώτη ύλη που προέρχεται από τη δική τους εκμετάλλευση, και πρώτη ύλη που προέρχεται από άλλες γεωργικές εκμεταλλεύσεις.</w:t>
      </w:r>
      <w:r w:rsidRPr="0010132C">
        <w:rPr>
          <w:rFonts w:eastAsia="Times New Roman" w:cs="Times New Roman"/>
          <w:lang w:eastAsia="el-GR"/>
        </w:rPr>
        <w:br/>
      </w:r>
      <w:r w:rsidRPr="0010132C">
        <w:rPr>
          <w:rFonts w:eastAsia="Times New Roman" w:cs="Times New Roman"/>
          <w:lang w:eastAsia="el-GR"/>
        </w:rPr>
        <w:br/>
        <w:t>Οι κλάδοι που ενισχύονται στο πλαίσιο της δράσης 4.2.1 είναι:</w:t>
      </w:r>
      <w:r w:rsidRPr="0010132C">
        <w:rPr>
          <w:rFonts w:eastAsia="Times New Roman" w:cs="Times New Roman"/>
          <w:lang w:eastAsia="el-GR"/>
        </w:rPr>
        <w:br/>
        <w:t>α) Κρέας – πουλερικά – κουνέλια.</w:t>
      </w:r>
      <w:r w:rsidRPr="0010132C">
        <w:rPr>
          <w:rFonts w:eastAsia="Times New Roman" w:cs="Times New Roman"/>
          <w:lang w:eastAsia="el-GR"/>
        </w:rPr>
        <w:br/>
        <w:t>β) Γάλα.</w:t>
      </w:r>
      <w:r w:rsidRPr="0010132C">
        <w:rPr>
          <w:rFonts w:eastAsia="Times New Roman" w:cs="Times New Roman"/>
          <w:lang w:eastAsia="el-GR"/>
        </w:rPr>
        <w:br/>
        <w:t>γ) Αυγά.</w:t>
      </w:r>
      <w:r w:rsidRPr="0010132C">
        <w:rPr>
          <w:rFonts w:eastAsia="Times New Roman" w:cs="Times New Roman"/>
          <w:lang w:eastAsia="el-GR"/>
        </w:rPr>
        <w:br/>
        <w:t xml:space="preserve">δ) Σηροτροφία – μελισσοκομία – </w:t>
      </w:r>
      <w:proofErr w:type="spellStart"/>
      <w:r w:rsidRPr="0010132C">
        <w:rPr>
          <w:rFonts w:eastAsia="Times New Roman" w:cs="Times New Roman"/>
          <w:lang w:eastAsia="el-GR"/>
        </w:rPr>
        <w:t>σαλιγκαροτροφία</w:t>
      </w:r>
      <w:proofErr w:type="spellEnd"/>
      <w:r w:rsidRPr="0010132C">
        <w:rPr>
          <w:rFonts w:eastAsia="Times New Roman" w:cs="Times New Roman"/>
          <w:lang w:eastAsia="el-GR"/>
        </w:rPr>
        <w:t xml:space="preserve"> – διάφορα ζώα.</w:t>
      </w:r>
      <w:r w:rsidRPr="0010132C">
        <w:rPr>
          <w:rFonts w:eastAsia="Times New Roman" w:cs="Times New Roman"/>
          <w:lang w:eastAsia="el-GR"/>
        </w:rPr>
        <w:br/>
        <w:t>ε) Ζωοτροφές. στ) Δημητριακά.</w:t>
      </w:r>
      <w:r w:rsidRPr="0010132C">
        <w:rPr>
          <w:rFonts w:eastAsia="Times New Roman" w:cs="Times New Roman"/>
          <w:lang w:eastAsia="el-GR"/>
        </w:rPr>
        <w:br/>
        <w:t xml:space="preserve">ζ) </w:t>
      </w:r>
      <w:proofErr w:type="spellStart"/>
      <w:r w:rsidRPr="0010132C">
        <w:rPr>
          <w:rFonts w:eastAsia="Times New Roman" w:cs="Times New Roman"/>
          <w:lang w:eastAsia="el-GR"/>
        </w:rPr>
        <w:t>Ελαιούχα</w:t>
      </w:r>
      <w:proofErr w:type="spellEnd"/>
      <w:r w:rsidRPr="0010132C">
        <w:rPr>
          <w:rFonts w:eastAsia="Times New Roman" w:cs="Times New Roman"/>
          <w:lang w:eastAsia="el-GR"/>
        </w:rPr>
        <w:t xml:space="preserve"> Προϊόντα (εξαιρούνται οι ιδρύσεις ελαιοτριβείων).</w:t>
      </w:r>
      <w:r w:rsidRPr="0010132C">
        <w:rPr>
          <w:rFonts w:eastAsia="Times New Roman" w:cs="Times New Roman"/>
          <w:lang w:eastAsia="el-GR"/>
        </w:rPr>
        <w:br/>
        <w:t>η) Οίνος.</w:t>
      </w:r>
      <w:r w:rsidRPr="0010132C">
        <w:rPr>
          <w:rFonts w:eastAsia="Times New Roman" w:cs="Times New Roman"/>
          <w:lang w:eastAsia="el-GR"/>
        </w:rPr>
        <w:br/>
        <w:t xml:space="preserve">θ) Οπωροκηπευτικά, </w:t>
      </w:r>
      <w:proofErr w:type="spellStart"/>
      <w:r w:rsidRPr="0010132C">
        <w:rPr>
          <w:rFonts w:eastAsia="Times New Roman" w:cs="Times New Roman"/>
          <w:lang w:eastAsia="el-GR"/>
        </w:rPr>
        <w:t>ακρόδρυα</w:t>
      </w:r>
      <w:proofErr w:type="spellEnd"/>
      <w:r w:rsidRPr="0010132C">
        <w:rPr>
          <w:rFonts w:eastAsia="Times New Roman" w:cs="Times New Roman"/>
          <w:lang w:eastAsia="el-GR"/>
        </w:rPr>
        <w:t>, ξηροί καρποί.</w:t>
      </w:r>
      <w:r w:rsidRPr="0010132C">
        <w:rPr>
          <w:rFonts w:eastAsia="Times New Roman" w:cs="Times New Roman"/>
          <w:lang w:eastAsia="el-GR"/>
        </w:rPr>
        <w:br/>
        <w:t>ι) Άνθη (ενδεικτικά: τυποποίηση και εμπορία ανθέων).</w:t>
      </w:r>
      <w:r w:rsidRPr="0010132C">
        <w:rPr>
          <w:rFonts w:eastAsia="Times New Roman" w:cs="Times New Roman"/>
          <w:lang w:eastAsia="el-GR"/>
        </w:rPr>
        <w:br/>
        <w:t xml:space="preserve">ια) Φαρμακευτικά και Αρωματικά Φυτά. </w:t>
      </w:r>
      <w:r w:rsidRPr="0010132C">
        <w:rPr>
          <w:rFonts w:eastAsia="Times New Roman" w:cs="Times New Roman"/>
          <w:lang w:eastAsia="el-GR"/>
        </w:rPr>
        <w:br/>
        <w:t>ιβ) Σπόροι και Πολλαπλασιαστικό Υλικό.</w:t>
      </w:r>
      <w:r w:rsidRPr="0010132C">
        <w:rPr>
          <w:rFonts w:eastAsia="Times New Roman" w:cs="Times New Roman"/>
          <w:lang w:eastAsia="el-GR"/>
        </w:rPr>
        <w:br/>
        <w:t>ιγ) Ξύδι (ενδεικτικά: παραγωγή ξυδιού από οίνο, από φρούτα και άλλες γεωργικές πρώτες ύλες).</w:t>
      </w:r>
      <w:r w:rsidRPr="0010132C">
        <w:rPr>
          <w:rFonts w:eastAsia="Times New Roman" w:cs="Times New Roman"/>
          <w:lang w:eastAsia="el-GR"/>
        </w:rPr>
        <w:br/>
      </w:r>
      <w:r w:rsidRPr="0010132C">
        <w:rPr>
          <w:rFonts w:eastAsia="Times New Roman" w:cs="Times New Roman"/>
          <w:lang w:eastAsia="el-GR"/>
        </w:rPr>
        <w:br/>
        <w:t>Οι κλάδοι που ενισχύονται στο πλαίσιο της δράσης 4.2.3, όταν το τελικό προϊόν είναι εντός του Παραρτήματος Ι της Συνθήκης για τη Λειτουργία της Ευρωπαϊκής Ένωσης (γεωργικό προϊόν) είναι:</w:t>
      </w:r>
      <w:r w:rsidRPr="0010132C">
        <w:rPr>
          <w:rFonts w:eastAsia="Times New Roman" w:cs="Times New Roman"/>
          <w:lang w:eastAsia="el-GR"/>
        </w:rPr>
        <w:br/>
        <w:t>α) Κρέας – πουλερικά – κουνέλια.</w:t>
      </w:r>
      <w:r w:rsidRPr="0010132C">
        <w:rPr>
          <w:rFonts w:eastAsia="Times New Roman" w:cs="Times New Roman"/>
          <w:lang w:eastAsia="el-GR"/>
        </w:rPr>
        <w:br/>
        <w:t>β) Γάλα.</w:t>
      </w:r>
      <w:r w:rsidRPr="0010132C">
        <w:rPr>
          <w:rFonts w:eastAsia="Times New Roman" w:cs="Times New Roman"/>
          <w:lang w:eastAsia="el-GR"/>
        </w:rPr>
        <w:br/>
        <w:t>γ) Αυγά.</w:t>
      </w:r>
      <w:r w:rsidRPr="0010132C">
        <w:rPr>
          <w:rFonts w:eastAsia="Times New Roman" w:cs="Times New Roman"/>
          <w:lang w:eastAsia="el-GR"/>
        </w:rPr>
        <w:br/>
        <w:t>δ) Σηροτροφία – σαλιγκάρια.</w:t>
      </w:r>
      <w:r w:rsidRPr="0010132C">
        <w:rPr>
          <w:rFonts w:eastAsia="Times New Roman" w:cs="Times New Roman"/>
          <w:lang w:eastAsia="el-GR"/>
        </w:rPr>
        <w:br/>
        <w:t xml:space="preserve">ε) Ζωοτροφές. </w:t>
      </w:r>
      <w:r w:rsidRPr="0010132C">
        <w:rPr>
          <w:rFonts w:eastAsia="Times New Roman" w:cs="Times New Roman"/>
          <w:lang w:eastAsia="el-GR"/>
        </w:rPr>
        <w:br/>
        <w:t>στ) Δημητριακά.</w:t>
      </w:r>
      <w:r w:rsidRPr="0010132C">
        <w:rPr>
          <w:rFonts w:eastAsia="Times New Roman" w:cs="Times New Roman"/>
          <w:lang w:eastAsia="el-GR"/>
        </w:rPr>
        <w:br/>
        <w:t xml:space="preserve">ζ) </w:t>
      </w:r>
      <w:proofErr w:type="spellStart"/>
      <w:r w:rsidRPr="0010132C">
        <w:rPr>
          <w:rFonts w:eastAsia="Times New Roman" w:cs="Times New Roman"/>
          <w:lang w:eastAsia="el-GR"/>
        </w:rPr>
        <w:t>Ελαιούχα</w:t>
      </w:r>
      <w:proofErr w:type="spellEnd"/>
      <w:r w:rsidRPr="0010132C">
        <w:rPr>
          <w:rFonts w:eastAsia="Times New Roman" w:cs="Times New Roman"/>
          <w:lang w:eastAsia="el-GR"/>
        </w:rPr>
        <w:t xml:space="preserve"> προϊόντα (εξαιρούνται οι ιδρύσεις ελαιοτριβείων).</w:t>
      </w:r>
      <w:r w:rsidRPr="0010132C">
        <w:rPr>
          <w:rFonts w:eastAsia="Times New Roman" w:cs="Times New Roman"/>
          <w:lang w:eastAsia="el-GR"/>
        </w:rPr>
        <w:br/>
        <w:t>η) Άνθη.</w:t>
      </w:r>
      <w:r w:rsidRPr="0010132C">
        <w:rPr>
          <w:rFonts w:eastAsia="Times New Roman" w:cs="Times New Roman"/>
          <w:lang w:eastAsia="el-GR"/>
        </w:rPr>
        <w:br/>
        <w:t>θ) Σπόροι και Πολλαπλασιαστικό Υλικό.</w:t>
      </w:r>
      <w:r w:rsidRPr="0010132C">
        <w:rPr>
          <w:rFonts w:eastAsia="Times New Roman" w:cs="Times New Roman"/>
          <w:lang w:eastAsia="el-GR"/>
        </w:rPr>
        <w:br/>
        <w:t>ι) Οίνος – Αμπελουργία.</w:t>
      </w:r>
      <w:r w:rsidRPr="0010132C">
        <w:rPr>
          <w:rFonts w:eastAsia="Times New Roman" w:cs="Times New Roman"/>
          <w:lang w:eastAsia="el-GR"/>
        </w:rPr>
        <w:br/>
        <w:t xml:space="preserve">ια) Οπωροκηπευτικά, </w:t>
      </w:r>
      <w:proofErr w:type="spellStart"/>
      <w:r w:rsidRPr="0010132C">
        <w:rPr>
          <w:rFonts w:eastAsia="Times New Roman" w:cs="Times New Roman"/>
          <w:lang w:eastAsia="el-GR"/>
        </w:rPr>
        <w:t>ακρόδρυα</w:t>
      </w:r>
      <w:proofErr w:type="spellEnd"/>
      <w:r w:rsidRPr="0010132C">
        <w:rPr>
          <w:rFonts w:eastAsia="Times New Roman" w:cs="Times New Roman"/>
          <w:lang w:eastAsia="el-GR"/>
        </w:rPr>
        <w:t xml:space="preserve">, ξηροί καρποί </w:t>
      </w:r>
      <w:r w:rsidRPr="0010132C">
        <w:rPr>
          <w:rFonts w:eastAsia="Times New Roman" w:cs="Times New Roman"/>
          <w:lang w:eastAsia="el-GR"/>
        </w:rPr>
        <w:br/>
        <w:t xml:space="preserve">ιδ) Φαρμακευτικά και Αρωματικά Φυτά </w:t>
      </w:r>
      <w:r w:rsidRPr="0010132C">
        <w:rPr>
          <w:rFonts w:eastAsia="Times New Roman" w:cs="Times New Roman"/>
          <w:lang w:eastAsia="el-GR"/>
        </w:rPr>
        <w:br/>
        <w:t xml:space="preserve">ιε) Ξύδι (ενδεικτικά: παραγωγή ξυδιού από οίνο, από φρούτα και άλλες γεωργικές πρώτες ύλες). </w:t>
      </w:r>
      <w:r w:rsidRPr="0010132C">
        <w:rPr>
          <w:rFonts w:eastAsia="Times New Roman" w:cs="Times New Roman"/>
          <w:lang w:eastAsia="el-GR"/>
        </w:rPr>
        <w:br/>
        <w:t>ιστ) Μέλι και επεξεργασία προϊόντων κυψέλης.</w:t>
      </w:r>
      <w:r w:rsidRPr="0010132C">
        <w:rPr>
          <w:rFonts w:eastAsia="Times New Roman" w:cs="Times New Roman"/>
          <w:lang w:eastAsia="el-GR"/>
        </w:rPr>
        <w:br/>
      </w:r>
      <w:r w:rsidRPr="0010132C">
        <w:rPr>
          <w:rFonts w:eastAsia="Times New Roman" w:cs="Times New Roman"/>
          <w:lang w:eastAsia="el-GR"/>
        </w:rPr>
        <w:br/>
        <w:t>Στους ανωτέρω κλάδους ενισχύονται ιδρύσεις, εκσυγχρονισμοί, επεκτάσεις, και μετεγκαταστάσεις μονάδων παραγωγής και αποθηκευτικών χώρων, συγχωνεύσεις μονάδων, μονάδες διαχείρισης υποπροϊόντων, σύμφωνα με το Παράρτημα της παρούσας, λαμβάνοντας υπόψη τη χρηματοδότηση μέσω της Κοινής Οργάνωσης Αγοράς ανά τομέα και από άλλα χρηματοδοτικά μέσα.</w:t>
      </w:r>
      <w:r w:rsidRPr="0010132C">
        <w:rPr>
          <w:rFonts w:eastAsia="Times New Roman" w:cs="Times New Roman"/>
          <w:lang w:eastAsia="el-GR"/>
        </w:rPr>
        <w:br/>
      </w:r>
      <w:r w:rsidRPr="0010132C">
        <w:rPr>
          <w:rFonts w:eastAsia="Times New Roman" w:cs="Times New Roman"/>
          <w:lang w:eastAsia="el-GR"/>
        </w:rPr>
        <w:br/>
        <w:t xml:space="preserve">Οι δυνητικοί δικαιούχοι που αιτούνται στήριξη για τη μεταποίηση προϊόντος του Παραρτήματος Ι της Συνθήκης για την Λειτουργία της Ευρωπαϊκής Ένωσης (γεωργικό </w:t>
      </w:r>
      <w:r w:rsidRPr="0010132C">
        <w:rPr>
          <w:rFonts w:eastAsia="Times New Roman" w:cs="Times New Roman"/>
          <w:lang w:eastAsia="el-GR"/>
        </w:rPr>
        <w:lastRenderedPageBreak/>
        <w:t>προϊόν) σε προϊόν εκτός του Παραρτήματος Ι της Συνθήκης για την Λειτουργία της Ευρωπαϊκής Ένωσης (μη γεωργικό προϊόν), στο πλαίσιο των ανωτέρω δράσεων, θα πρέπει να δραστηριοποιούνται στην πρώτη μεταποίηση του γεωργικού προϊόντος και να αξιοποιούν το προϊόν αυτό ως πρώτη ύλη που θα το μεταποιούν περαιτέρω, με αποτέλεσμα να λαμβάνουν τελικό προϊόν εκτός Παραρτήματος Ι της Συνθήκης για την Λειτουργία της Ευρωπαϊκής Ένωσης.</w:t>
      </w:r>
      <w:r w:rsidRPr="0010132C">
        <w:rPr>
          <w:rFonts w:eastAsia="Times New Roman" w:cs="Times New Roman"/>
          <w:lang w:eastAsia="el-GR"/>
        </w:rPr>
        <w:br/>
      </w:r>
      <w:r w:rsidRPr="0010132C">
        <w:rPr>
          <w:rFonts w:eastAsia="Times New Roman" w:cs="Times New Roman"/>
          <w:lang w:eastAsia="el-GR"/>
        </w:rPr>
        <w:br/>
        <w:t>Ειδικότερα:</w:t>
      </w:r>
      <w:r w:rsidRPr="0010132C">
        <w:rPr>
          <w:rFonts w:eastAsia="Times New Roman" w:cs="Times New Roman"/>
          <w:lang w:eastAsia="el-GR"/>
        </w:rPr>
        <w:br/>
      </w:r>
      <w:r w:rsidRPr="0010132C">
        <w:rPr>
          <w:rFonts w:eastAsia="Times New Roman" w:cs="Times New Roman"/>
          <w:lang w:eastAsia="el-GR"/>
        </w:rPr>
        <w:br/>
        <w:t>α) Σε περίπτωση που ο δυνητικός δικαιούχος διαθέτει ήδη την υποδομή για την πρώτη μεταποίηση του γεωργικού προϊόντος και η αίτηση στήριξης που υποβάλλει αφορά στη δεύτερη μεταποίηση, είναι δυνατόν να συμπεριλάβει στην ίδια αίτηση και δαπάνες που αφορούν στην πρώτη μεταποίηση εφόσον αυτές πραγματοποιήθηκαν μετά την υποβολή της αίτησης στήριξης.</w:t>
      </w:r>
      <w:r w:rsidRPr="0010132C">
        <w:rPr>
          <w:rFonts w:eastAsia="Times New Roman" w:cs="Times New Roman"/>
          <w:lang w:eastAsia="el-GR"/>
        </w:rPr>
        <w:br/>
      </w:r>
      <w:r w:rsidRPr="0010132C">
        <w:rPr>
          <w:rFonts w:eastAsia="Times New Roman" w:cs="Times New Roman"/>
          <w:lang w:eastAsia="el-GR"/>
        </w:rPr>
        <w:br/>
        <w:t>β) Σε περίπτωση που ο δυνητικός δικαιούχος δεν διαθέτει ήδη την υποδομή για την πρώτη μεταποίηση του γεωργικού προϊόντος που χρησιμοποιείται ως πρώτη ύλη της δεύτερης μεταποίησης, για την οποία υποβάλει αίτηση στήριξης, είναι δυνατόν να συμπεριλάβει στην ίδια αίτηση και αίτημα στήριξης της πρώτης, ώστε τουλάχιστον ένα ποσοστό του μεταποιημένου προϊόντος που χρησιμοποιείται ως πρώτη ύλη στο πλαίσιο της δεύτερης μεταποίησης, να παράγεται από τον ίδιο τον δικαιούχο.</w:t>
      </w:r>
    </w:p>
    <w:p w:rsidR="0010132C" w:rsidRPr="0010132C" w:rsidRDefault="0010132C" w:rsidP="0010132C">
      <w:pPr>
        <w:spacing w:after="0" w:line="240" w:lineRule="auto"/>
        <w:rPr>
          <w:rFonts w:eastAsia="Times New Roman" w:cs="Times New Roman"/>
          <w:lang w:eastAsia="el-GR"/>
        </w:rPr>
      </w:pPr>
      <w:r w:rsidRPr="0010132C">
        <w:rPr>
          <w:rFonts w:eastAsia="Times New Roman" w:cs="Times New Roman"/>
          <w:lang w:eastAsia="el-GR"/>
        </w:rPr>
        <w:br/>
      </w:r>
      <w:r w:rsidRPr="0010132C">
        <w:rPr>
          <w:rFonts w:eastAsia="Times New Roman" w:cs="Times New Roman"/>
          <w:lang w:eastAsia="el-GR"/>
        </w:rPr>
        <w:br/>
        <w:t xml:space="preserve">Πηγή: </w:t>
      </w:r>
      <w:proofErr w:type="spellStart"/>
      <w:r w:rsidRPr="0010132C">
        <w:rPr>
          <w:rFonts w:eastAsia="Times New Roman" w:cs="Times New Roman"/>
          <w:lang w:eastAsia="el-GR"/>
        </w:rPr>
        <w:t>Taxheaven</w:t>
      </w:r>
      <w:proofErr w:type="spellEnd"/>
      <w:r w:rsidRPr="0010132C">
        <w:rPr>
          <w:rFonts w:eastAsia="Times New Roman" w:cs="Times New Roman"/>
          <w:lang w:eastAsia="el-GR"/>
        </w:rPr>
        <w:t xml:space="preserve"> </w:t>
      </w:r>
    </w:p>
    <w:p w:rsidR="006C7064" w:rsidRPr="0010132C" w:rsidRDefault="0010132C"/>
    <w:sectPr w:rsidR="006C7064" w:rsidRPr="0010132C" w:rsidSect="007D7C9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0132C"/>
    <w:rsid w:val="0010132C"/>
    <w:rsid w:val="00764EA0"/>
    <w:rsid w:val="007D7C9E"/>
    <w:rsid w:val="00D948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C9E"/>
  </w:style>
  <w:style w:type="paragraph" w:styleId="1">
    <w:name w:val="heading 1"/>
    <w:basedOn w:val="a"/>
    <w:link w:val="1Char"/>
    <w:uiPriority w:val="9"/>
    <w:qFormat/>
    <w:rsid w:val="001013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0132C"/>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10132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10132C"/>
    <w:rPr>
      <w:color w:val="0000FF"/>
      <w:u w:val="single"/>
    </w:rPr>
  </w:style>
  <w:style w:type="paragraph" w:styleId="a3">
    <w:name w:val="Balloon Text"/>
    <w:basedOn w:val="a"/>
    <w:link w:val="Char"/>
    <w:uiPriority w:val="99"/>
    <w:semiHidden/>
    <w:unhideWhenUsed/>
    <w:rsid w:val="0010132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013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1603992">
      <w:bodyDiv w:val="1"/>
      <w:marLeft w:val="0"/>
      <w:marRight w:val="0"/>
      <w:marTop w:val="0"/>
      <w:marBottom w:val="0"/>
      <w:divBdr>
        <w:top w:val="none" w:sz="0" w:space="0" w:color="auto"/>
        <w:left w:val="none" w:sz="0" w:space="0" w:color="auto"/>
        <w:bottom w:val="none" w:sz="0" w:space="0" w:color="auto"/>
        <w:right w:val="none" w:sz="0" w:space="0" w:color="auto"/>
      </w:divBdr>
      <w:divsChild>
        <w:div w:id="439882946">
          <w:marLeft w:val="0"/>
          <w:marRight w:val="0"/>
          <w:marTop w:val="0"/>
          <w:marBottom w:val="0"/>
          <w:divBdr>
            <w:top w:val="none" w:sz="0" w:space="0" w:color="auto"/>
            <w:left w:val="none" w:sz="0" w:space="0" w:color="auto"/>
            <w:bottom w:val="none" w:sz="0" w:space="0" w:color="auto"/>
            <w:right w:val="none" w:sz="0" w:space="0" w:color="auto"/>
          </w:divBdr>
          <w:divsChild>
            <w:div w:id="1889803323">
              <w:marLeft w:val="0"/>
              <w:marRight w:val="0"/>
              <w:marTop w:val="0"/>
              <w:marBottom w:val="0"/>
              <w:divBdr>
                <w:top w:val="none" w:sz="0" w:space="0" w:color="auto"/>
                <w:left w:val="none" w:sz="0" w:space="0" w:color="auto"/>
                <w:bottom w:val="none" w:sz="0" w:space="0" w:color="auto"/>
                <w:right w:val="none" w:sz="0" w:space="0" w:color="auto"/>
              </w:divBdr>
              <w:divsChild>
                <w:div w:id="490103584">
                  <w:marLeft w:val="0"/>
                  <w:marRight w:val="0"/>
                  <w:marTop w:val="0"/>
                  <w:marBottom w:val="0"/>
                  <w:divBdr>
                    <w:top w:val="none" w:sz="0" w:space="0" w:color="auto"/>
                    <w:left w:val="none" w:sz="0" w:space="0" w:color="auto"/>
                    <w:bottom w:val="none" w:sz="0" w:space="0" w:color="auto"/>
                    <w:right w:val="none" w:sz="0" w:space="0" w:color="auto"/>
                  </w:divBdr>
                </w:div>
              </w:divsChild>
            </w:div>
            <w:div w:id="115103786">
              <w:marLeft w:val="0"/>
              <w:marRight w:val="0"/>
              <w:marTop w:val="0"/>
              <w:marBottom w:val="0"/>
              <w:divBdr>
                <w:top w:val="none" w:sz="0" w:space="0" w:color="auto"/>
                <w:left w:val="none" w:sz="0" w:space="0" w:color="auto"/>
                <w:bottom w:val="none" w:sz="0" w:space="0" w:color="auto"/>
                <w:right w:val="none" w:sz="0" w:space="0" w:color="auto"/>
              </w:divBdr>
            </w:div>
            <w:div w:id="1832599191">
              <w:marLeft w:val="0"/>
              <w:marRight w:val="0"/>
              <w:marTop w:val="0"/>
              <w:marBottom w:val="0"/>
              <w:divBdr>
                <w:top w:val="none" w:sz="0" w:space="0" w:color="auto"/>
                <w:left w:val="none" w:sz="0" w:space="0" w:color="auto"/>
                <w:bottom w:val="none" w:sz="0" w:space="0" w:color="auto"/>
                <w:right w:val="none" w:sz="0" w:space="0" w:color="auto"/>
              </w:divBdr>
            </w:div>
            <w:div w:id="952175950">
              <w:marLeft w:val="0"/>
              <w:marRight w:val="0"/>
              <w:marTop w:val="0"/>
              <w:marBottom w:val="0"/>
              <w:divBdr>
                <w:top w:val="none" w:sz="0" w:space="0" w:color="auto"/>
                <w:left w:val="none" w:sz="0" w:space="0" w:color="auto"/>
                <w:bottom w:val="none" w:sz="0" w:space="0" w:color="auto"/>
                <w:right w:val="none" w:sz="0" w:space="0" w:color="auto"/>
              </w:divBdr>
            </w:div>
            <w:div w:id="101919188">
              <w:marLeft w:val="0"/>
              <w:marRight w:val="0"/>
              <w:marTop w:val="0"/>
              <w:marBottom w:val="0"/>
              <w:divBdr>
                <w:top w:val="none" w:sz="0" w:space="0" w:color="auto"/>
                <w:left w:val="none" w:sz="0" w:space="0" w:color="auto"/>
                <w:bottom w:val="none" w:sz="0" w:space="0" w:color="auto"/>
                <w:right w:val="none" w:sz="0" w:space="0" w:color="auto"/>
              </w:divBdr>
            </w:div>
            <w:div w:id="10805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axheaven.gr/laws/circular/view/id/964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942</Words>
  <Characters>5089</Characters>
  <Application>Microsoft Office Word</Application>
  <DocSecurity>0</DocSecurity>
  <Lines>42</Lines>
  <Paragraphs>12</Paragraphs>
  <ScaleCrop>false</ScaleCrop>
  <Company/>
  <LinksUpToDate>false</LinksUpToDate>
  <CharactersWithSpaces>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2017-04-05T09:43:00Z</dcterms:created>
  <dcterms:modified xsi:type="dcterms:W3CDTF">2017-04-05T09:45:00Z</dcterms:modified>
</cp:coreProperties>
</file>